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77"/>
      </w:tblGrid>
      <w:tr w:rsidR="00466687" w:rsidRPr="00C971DF" w:rsidTr="00733DFB">
        <w:trPr>
          <w:trHeight w:val="304"/>
        </w:trPr>
        <w:tc>
          <w:tcPr>
            <w:tcW w:w="3794" w:type="dxa"/>
            <w:tcBorders>
              <w:top w:val="nil"/>
              <w:left w:val="nil"/>
              <w:bottom w:val="nil"/>
              <w:right w:val="nil"/>
            </w:tcBorders>
            <w:shd w:val="clear" w:color="auto" w:fill="auto"/>
          </w:tcPr>
          <w:p w:rsidR="00466687" w:rsidRPr="0083391D" w:rsidRDefault="00466687" w:rsidP="00466687">
            <w:pPr>
              <w:jc w:val="center"/>
              <w:rPr>
                <w:rFonts w:ascii="Times New Roman" w:hAnsi="Times New Roman"/>
                <w:sz w:val="28"/>
                <w:szCs w:val="28"/>
                <w:lang w:val="nl-NL"/>
              </w:rPr>
            </w:pPr>
            <w:r w:rsidRPr="0083391D">
              <w:rPr>
                <w:rFonts w:ascii="Times New Roman" w:hAnsi="Times New Roman"/>
                <w:sz w:val="28"/>
                <w:szCs w:val="28"/>
                <w:lang w:val="nl-NL"/>
              </w:rPr>
              <w:t xml:space="preserve">UBND HUYỆN </w:t>
            </w:r>
            <w:r w:rsidR="00801A4D">
              <w:rPr>
                <w:rFonts w:ascii="Times New Roman" w:hAnsi="Times New Roman"/>
                <w:sz w:val="28"/>
                <w:szCs w:val="28"/>
                <w:lang w:val="nl-NL"/>
              </w:rPr>
              <w:t>YÊN SƠN</w:t>
            </w:r>
          </w:p>
          <w:p w:rsidR="00466687" w:rsidRPr="0083391D" w:rsidRDefault="00466687" w:rsidP="00466687">
            <w:pPr>
              <w:jc w:val="center"/>
              <w:rPr>
                <w:rFonts w:ascii="Times New Roman" w:hAnsi="Times New Roman"/>
                <w:b/>
                <w:sz w:val="28"/>
                <w:szCs w:val="28"/>
                <w:lang w:val="nl-NL"/>
              </w:rPr>
            </w:pPr>
            <w:r w:rsidRPr="0083391D">
              <w:rPr>
                <w:rFonts w:ascii="Times New Roman" w:hAnsi="Times New Roman"/>
                <w:b/>
                <w:sz w:val="28"/>
                <w:szCs w:val="28"/>
                <w:lang w:val="nl-NL"/>
              </w:rPr>
              <w:t>HỘI ĐỒNG TUYỂN DỤNG</w:t>
            </w:r>
          </w:p>
          <w:p w:rsidR="00466687" w:rsidRPr="00C971DF" w:rsidRDefault="00466687" w:rsidP="00466687">
            <w:pPr>
              <w:jc w:val="center"/>
              <w:rPr>
                <w:rFonts w:ascii="Times New Roman" w:hAnsi="Times New Roman"/>
                <w:b/>
                <w:lang w:val="nl-NL"/>
              </w:rPr>
            </w:pPr>
            <w:r w:rsidRPr="0083391D">
              <w:rPr>
                <w:rFonts w:ascii="Times New Roman" w:hAnsi="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748665</wp:posOffset>
                      </wp:positionH>
                      <wp:positionV relativeFrom="paragraph">
                        <wp:posOffset>405765</wp:posOffset>
                      </wp:positionV>
                      <wp:extent cx="752475" cy="0"/>
                      <wp:effectExtent l="5715" t="5715" r="1333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AF05C"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31.95pt" to="118.2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y0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"/>
                  </w:pict>
                </mc:Fallback>
              </mc:AlternateContent>
            </w:r>
            <w:r>
              <w:rPr>
                <w:rFonts w:ascii="Times New Roman" w:hAnsi="Times New Roman"/>
                <w:b/>
                <w:sz w:val="28"/>
                <w:szCs w:val="28"/>
                <w:lang w:val="nl-NL"/>
              </w:rPr>
              <w:t>CÔNG</w:t>
            </w:r>
            <w:r>
              <w:rPr>
                <w:rFonts w:ascii="Times New Roman" w:hAnsi="Times New Roman"/>
                <w:b/>
                <w:sz w:val="28"/>
                <w:szCs w:val="28"/>
                <w:lang w:val="vi-VN"/>
              </w:rPr>
              <w:t xml:space="preserve"> CHỨC CẤP XÃ </w:t>
            </w:r>
            <w:r w:rsidRPr="0083391D">
              <w:rPr>
                <w:rFonts w:ascii="Times New Roman" w:hAnsi="Times New Roman"/>
                <w:b/>
                <w:sz w:val="28"/>
                <w:szCs w:val="28"/>
                <w:lang w:val="nl-NL"/>
              </w:rPr>
              <w:t>NĂM 2020</w:t>
            </w:r>
          </w:p>
        </w:tc>
        <w:tc>
          <w:tcPr>
            <w:tcW w:w="6277" w:type="dxa"/>
            <w:tcBorders>
              <w:top w:val="nil"/>
              <w:left w:val="nil"/>
              <w:bottom w:val="nil"/>
              <w:right w:val="nil"/>
            </w:tcBorders>
            <w:shd w:val="clear" w:color="auto" w:fill="auto"/>
          </w:tcPr>
          <w:p w:rsidR="00466687" w:rsidRPr="00C971DF" w:rsidRDefault="00466687" w:rsidP="00733DFB">
            <w:pPr>
              <w:jc w:val="center"/>
              <w:rPr>
                <w:rFonts w:ascii="Times New Roman" w:hAnsi="Times New Roman"/>
                <w:b/>
                <w:lang w:val="nl-NL"/>
              </w:rPr>
            </w:pPr>
            <w:r w:rsidRPr="00C971DF">
              <w:rPr>
                <w:rFonts w:ascii="Times New Roman" w:hAnsi="Times New Roman"/>
                <w:b/>
                <w:lang w:val="nl-NL"/>
              </w:rPr>
              <w:t>CỘNG HOÀ XÃ HỘI CHỦ NGHĨA VIỆT NAM</w:t>
            </w:r>
            <w:r w:rsidRPr="00C971DF">
              <w:rPr>
                <w:rFonts w:ascii="Times New Roman" w:hAnsi="Times New Roman"/>
                <w:lang w:val="nl-NL"/>
              </w:rPr>
              <w:t xml:space="preserve"> </w:t>
            </w:r>
          </w:p>
          <w:p w:rsidR="00466687" w:rsidRPr="0083391D" w:rsidRDefault="00466687" w:rsidP="00733DFB">
            <w:pPr>
              <w:jc w:val="center"/>
              <w:rPr>
                <w:rFonts w:ascii="Times New Roman" w:hAnsi="Times New Roman"/>
                <w:sz w:val="28"/>
                <w:szCs w:val="28"/>
                <w:lang w:val="nl-NL"/>
              </w:rPr>
            </w:pPr>
            <w:r w:rsidRPr="0083391D">
              <w:rPr>
                <w:rFonts w:ascii="Times New Roman" w:hAnsi="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953770</wp:posOffset>
                      </wp:positionH>
                      <wp:positionV relativeFrom="paragraph">
                        <wp:posOffset>203200</wp:posOffset>
                      </wp:positionV>
                      <wp:extent cx="1903095" cy="0"/>
                      <wp:effectExtent l="13970" t="12065" r="698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16CCD"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16pt" to="224.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tzHQIAADYEAAAOAAAAZHJzL2Uyb0RvYy54bWysU8GO2jAQvVfqP1i+QxIWKE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"/>
                  </w:pict>
                </mc:Fallback>
              </mc:AlternateContent>
            </w:r>
            <w:r w:rsidRPr="0083391D">
              <w:rPr>
                <w:rFonts w:ascii="Times New Roman" w:hAnsi="Times New Roman"/>
                <w:b/>
                <w:sz w:val="28"/>
                <w:szCs w:val="28"/>
                <w:lang w:val="nl-NL"/>
              </w:rPr>
              <w:t>Độc lập - Tự do - Hạnh phúc</w:t>
            </w:r>
          </w:p>
          <w:p w:rsidR="00466687" w:rsidRPr="00C971DF" w:rsidRDefault="00466687" w:rsidP="00733DFB">
            <w:pPr>
              <w:jc w:val="center"/>
              <w:rPr>
                <w:rFonts w:ascii="Times New Roman" w:hAnsi="Times New Roman"/>
                <w:lang w:val="nl-NL"/>
              </w:rPr>
            </w:pPr>
          </w:p>
          <w:p w:rsidR="00466687" w:rsidRPr="00C971DF" w:rsidRDefault="00466687" w:rsidP="00733DFB">
            <w:pPr>
              <w:spacing w:before="120" w:after="120"/>
              <w:jc w:val="center"/>
              <w:rPr>
                <w:rFonts w:ascii="Times New Roman" w:hAnsi="Times New Roman"/>
                <w:b/>
                <w:lang w:val="nl-NL"/>
              </w:rPr>
            </w:pPr>
          </w:p>
        </w:tc>
      </w:tr>
    </w:tbl>
    <w:p w:rsidR="00466687" w:rsidRDefault="00466687" w:rsidP="0047704D">
      <w:pPr>
        <w:jc w:val="center"/>
        <w:rPr>
          <w:rFonts w:ascii="Times New Roman" w:eastAsia="Arial" w:hAnsi="Times New Roman"/>
          <w:b/>
          <w:sz w:val="28"/>
          <w:szCs w:val="22"/>
        </w:rPr>
      </w:pPr>
    </w:p>
    <w:p w:rsidR="0047704D" w:rsidRPr="005F4E5B" w:rsidRDefault="0047704D" w:rsidP="0047704D">
      <w:pPr>
        <w:jc w:val="center"/>
        <w:rPr>
          <w:rFonts w:ascii="Times New Roman" w:eastAsia="Arial" w:hAnsi="Times New Roman"/>
          <w:b/>
          <w:sz w:val="28"/>
          <w:szCs w:val="22"/>
        </w:rPr>
      </w:pPr>
      <w:r w:rsidRPr="005F4E5B">
        <w:rPr>
          <w:rFonts w:ascii="Times New Roman" w:eastAsia="Arial" w:hAnsi="Times New Roman"/>
          <w:b/>
          <w:sz w:val="28"/>
          <w:szCs w:val="22"/>
        </w:rPr>
        <w:t>DANH MỤC TÀI LIỆU ÔN THI</w:t>
      </w:r>
    </w:p>
    <w:p w:rsidR="0047704D" w:rsidRPr="005F4E5B" w:rsidRDefault="0047704D" w:rsidP="0047704D">
      <w:pPr>
        <w:jc w:val="center"/>
        <w:rPr>
          <w:rFonts w:ascii="Times New Roman" w:eastAsia="Arial" w:hAnsi="Times New Roman"/>
          <w:b/>
          <w:sz w:val="28"/>
          <w:szCs w:val="22"/>
        </w:rPr>
      </w:pPr>
      <w:r w:rsidRPr="005F4E5B">
        <w:rPr>
          <w:rFonts w:ascii="Times New Roman" w:eastAsia="Arial" w:hAnsi="Times New Roman"/>
          <w:b/>
          <w:sz w:val="28"/>
          <w:szCs w:val="22"/>
        </w:rPr>
        <w:t xml:space="preserve">SÁT HẠCH CÔNG CHỨC XÃ NĂM 2020  </w:t>
      </w:r>
    </w:p>
    <w:p w:rsidR="0047704D" w:rsidRPr="005F4E5B" w:rsidRDefault="0047704D" w:rsidP="0047704D">
      <w:pPr>
        <w:jc w:val="center"/>
        <w:rPr>
          <w:rFonts w:ascii="Times New Roman" w:eastAsia="Arial" w:hAnsi="Times New Roman"/>
          <w:i/>
          <w:sz w:val="28"/>
          <w:szCs w:val="22"/>
        </w:rPr>
      </w:pPr>
      <w:r w:rsidRPr="005F4E5B">
        <w:rPr>
          <w:rFonts w:ascii="Times New Roman" w:eastAsia="Arial" w:hAnsi="Times New Roman"/>
          <w:i/>
          <w:sz w:val="28"/>
          <w:szCs w:val="22"/>
        </w:rPr>
        <w:t>(Phần Kiến thức chung)</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9"/>
      </w:tblGrid>
      <w:tr w:rsidR="0047704D" w:rsidRPr="005F4E5B" w:rsidTr="00733DFB">
        <w:trPr>
          <w:trHeight w:val="587"/>
          <w:tblHeader/>
        </w:trPr>
        <w:tc>
          <w:tcPr>
            <w:tcW w:w="675" w:type="dxa"/>
            <w:shd w:val="clear" w:color="auto" w:fill="auto"/>
            <w:vAlign w:val="center"/>
          </w:tcPr>
          <w:p w:rsidR="0047704D" w:rsidRPr="005F4E5B" w:rsidRDefault="0047704D" w:rsidP="00733DFB">
            <w:pPr>
              <w:jc w:val="center"/>
              <w:rPr>
                <w:rFonts w:ascii="Times New Roman" w:eastAsia="Arial" w:hAnsi="Times New Roman"/>
                <w:b/>
                <w:sz w:val="28"/>
                <w:szCs w:val="22"/>
              </w:rPr>
            </w:pPr>
            <w:r w:rsidRPr="005F4E5B">
              <w:rPr>
                <w:rFonts w:ascii="Times New Roman" w:eastAsia="Arial" w:hAnsi="Times New Roman"/>
                <w:b/>
                <w:sz w:val="28"/>
                <w:szCs w:val="22"/>
              </w:rPr>
              <w:t>TT</w:t>
            </w:r>
          </w:p>
        </w:tc>
        <w:tc>
          <w:tcPr>
            <w:tcW w:w="8939" w:type="dxa"/>
            <w:shd w:val="clear" w:color="auto" w:fill="auto"/>
            <w:vAlign w:val="center"/>
          </w:tcPr>
          <w:p w:rsidR="0047704D" w:rsidRPr="005F4E5B" w:rsidRDefault="0047704D" w:rsidP="00733DFB">
            <w:pPr>
              <w:jc w:val="center"/>
              <w:rPr>
                <w:rFonts w:ascii="Times New Roman" w:eastAsia="Arial" w:hAnsi="Times New Roman"/>
                <w:b/>
                <w:sz w:val="28"/>
                <w:szCs w:val="22"/>
              </w:rPr>
            </w:pPr>
            <w:r w:rsidRPr="005F4E5B">
              <w:rPr>
                <w:rFonts w:ascii="Times New Roman" w:eastAsia="Arial" w:hAnsi="Times New Roman"/>
                <w:b/>
                <w:sz w:val="28"/>
                <w:szCs w:val="22"/>
              </w:rPr>
              <w:t>Số ký hiệu, trích yếu văn bản</w:t>
            </w:r>
          </w:p>
        </w:tc>
      </w:tr>
      <w:tr w:rsidR="0047704D" w:rsidRPr="005F4E5B" w:rsidTr="00733DFB">
        <w:trPr>
          <w:trHeight w:val="654"/>
        </w:trPr>
        <w:tc>
          <w:tcPr>
            <w:tcW w:w="675" w:type="dxa"/>
            <w:shd w:val="clear" w:color="auto" w:fill="auto"/>
            <w:vAlign w:val="center"/>
          </w:tcPr>
          <w:p w:rsidR="0047704D" w:rsidRPr="005F4E5B" w:rsidRDefault="0047704D" w:rsidP="00733DFB">
            <w:pPr>
              <w:jc w:val="center"/>
              <w:rPr>
                <w:rFonts w:ascii="Times New Roman" w:eastAsia="Arial" w:hAnsi="Times New Roman"/>
                <w:sz w:val="28"/>
                <w:szCs w:val="22"/>
              </w:rPr>
            </w:pPr>
            <w:r w:rsidRPr="005F4E5B">
              <w:rPr>
                <w:rFonts w:ascii="Times New Roman" w:eastAsia="Arial" w:hAnsi="Times New Roman"/>
                <w:sz w:val="28"/>
                <w:szCs w:val="22"/>
              </w:rPr>
              <w:t>1</w:t>
            </w:r>
          </w:p>
        </w:tc>
        <w:tc>
          <w:tcPr>
            <w:tcW w:w="8939" w:type="dxa"/>
            <w:shd w:val="clear" w:color="auto" w:fill="auto"/>
            <w:vAlign w:val="center"/>
          </w:tcPr>
          <w:p w:rsidR="0047704D" w:rsidRPr="005F4E5B" w:rsidRDefault="0047704D" w:rsidP="00733DFB">
            <w:pPr>
              <w:jc w:val="both"/>
              <w:rPr>
                <w:rFonts w:ascii="Times New Roman" w:eastAsia="Arial" w:hAnsi="Times New Roman"/>
                <w:sz w:val="28"/>
                <w:szCs w:val="22"/>
              </w:rPr>
            </w:pPr>
            <w:r w:rsidRPr="005F4E5B">
              <w:rPr>
                <w:rFonts w:ascii="Times New Roman" w:eastAsia="Arial" w:hAnsi="Times New Roman"/>
                <w:sz w:val="28"/>
                <w:szCs w:val="22"/>
              </w:rPr>
              <w:t>Hiến pháp nước cộng hòa xã hội chủ nghĩa Việt Nam năm 2013</w:t>
            </w:r>
          </w:p>
        </w:tc>
      </w:tr>
      <w:tr w:rsidR="0047704D" w:rsidRPr="005F4E5B" w:rsidTr="00733DFB">
        <w:trPr>
          <w:trHeight w:val="564"/>
        </w:trPr>
        <w:tc>
          <w:tcPr>
            <w:tcW w:w="675" w:type="dxa"/>
            <w:shd w:val="clear" w:color="auto" w:fill="auto"/>
            <w:vAlign w:val="center"/>
          </w:tcPr>
          <w:p w:rsidR="0047704D" w:rsidRPr="005F4E5B" w:rsidRDefault="0047704D" w:rsidP="00733DFB">
            <w:pPr>
              <w:jc w:val="center"/>
              <w:rPr>
                <w:rFonts w:ascii="Times New Roman" w:eastAsia="Arial" w:hAnsi="Times New Roman"/>
                <w:sz w:val="28"/>
                <w:szCs w:val="22"/>
              </w:rPr>
            </w:pPr>
            <w:r w:rsidRPr="005F4E5B">
              <w:rPr>
                <w:rFonts w:ascii="Times New Roman" w:eastAsia="Arial" w:hAnsi="Times New Roman"/>
                <w:sz w:val="28"/>
                <w:szCs w:val="22"/>
              </w:rPr>
              <w:t>2</w:t>
            </w:r>
          </w:p>
        </w:tc>
        <w:tc>
          <w:tcPr>
            <w:tcW w:w="8939" w:type="dxa"/>
            <w:shd w:val="clear" w:color="auto" w:fill="auto"/>
            <w:vAlign w:val="center"/>
          </w:tcPr>
          <w:p w:rsidR="0047704D" w:rsidRPr="005F4E5B" w:rsidRDefault="0047704D" w:rsidP="00733DFB">
            <w:pPr>
              <w:jc w:val="both"/>
              <w:rPr>
                <w:rFonts w:ascii="Times New Roman" w:eastAsia="Arial" w:hAnsi="Times New Roman"/>
                <w:sz w:val="28"/>
                <w:szCs w:val="22"/>
              </w:rPr>
            </w:pPr>
            <w:r w:rsidRPr="005F4E5B">
              <w:rPr>
                <w:rFonts w:ascii="Times New Roman" w:eastAsia="Arial" w:hAnsi="Times New Roman"/>
                <w:sz w:val="28"/>
                <w:szCs w:val="22"/>
              </w:rPr>
              <w:t>Luật Tổ chức chính quyền địa phương năm 2015</w:t>
            </w:r>
          </w:p>
        </w:tc>
      </w:tr>
      <w:tr w:rsidR="0047704D" w:rsidRPr="005F4E5B" w:rsidTr="00733DFB">
        <w:trPr>
          <w:trHeight w:val="842"/>
        </w:trPr>
        <w:tc>
          <w:tcPr>
            <w:tcW w:w="675" w:type="dxa"/>
            <w:shd w:val="clear" w:color="auto" w:fill="auto"/>
            <w:vAlign w:val="center"/>
          </w:tcPr>
          <w:p w:rsidR="0047704D" w:rsidRPr="005F4E5B" w:rsidRDefault="0047704D" w:rsidP="00733DFB">
            <w:pPr>
              <w:jc w:val="center"/>
              <w:rPr>
                <w:rFonts w:ascii="Times New Roman" w:eastAsia="Arial" w:hAnsi="Times New Roman"/>
                <w:sz w:val="28"/>
                <w:szCs w:val="22"/>
              </w:rPr>
            </w:pPr>
            <w:r>
              <w:rPr>
                <w:rFonts w:ascii="Times New Roman" w:eastAsia="Arial" w:hAnsi="Times New Roman"/>
                <w:sz w:val="28"/>
                <w:szCs w:val="22"/>
              </w:rPr>
              <w:t>3</w:t>
            </w:r>
          </w:p>
        </w:tc>
        <w:tc>
          <w:tcPr>
            <w:tcW w:w="8939" w:type="dxa"/>
            <w:shd w:val="clear" w:color="auto" w:fill="auto"/>
            <w:vAlign w:val="center"/>
          </w:tcPr>
          <w:p w:rsidR="0047704D" w:rsidRPr="005F4E5B" w:rsidRDefault="0047704D" w:rsidP="00733DFB">
            <w:pPr>
              <w:jc w:val="both"/>
              <w:rPr>
                <w:rFonts w:ascii="Times New Roman" w:eastAsia="Arial" w:hAnsi="Times New Roman"/>
                <w:sz w:val="28"/>
                <w:szCs w:val="22"/>
              </w:rPr>
            </w:pPr>
            <w:r>
              <w:rPr>
                <w:rFonts w:ascii="Times New Roman" w:eastAsia="Arial" w:hAnsi="Times New Roman"/>
                <w:sz w:val="28"/>
                <w:szCs w:val="22"/>
              </w:rPr>
              <w:t>Luật sửa đổi, bổ sung một số điều của Luật Tổ chức chính phủ và Luật Tổ chức chính quyền địa phương năm 2019</w:t>
            </w:r>
          </w:p>
        </w:tc>
      </w:tr>
      <w:tr w:rsidR="0047704D" w:rsidRPr="005F4E5B" w:rsidTr="00733DFB">
        <w:trPr>
          <w:trHeight w:val="982"/>
        </w:trPr>
        <w:tc>
          <w:tcPr>
            <w:tcW w:w="675" w:type="dxa"/>
            <w:shd w:val="clear" w:color="auto" w:fill="auto"/>
            <w:vAlign w:val="center"/>
          </w:tcPr>
          <w:p w:rsidR="0047704D" w:rsidRPr="005F4E5B" w:rsidRDefault="0047704D" w:rsidP="00733DFB">
            <w:pPr>
              <w:jc w:val="center"/>
              <w:rPr>
                <w:rFonts w:ascii="Times New Roman" w:eastAsia="Arial" w:hAnsi="Times New Roman"/>
                <w:sz w:val="28"/>
                <w:szCs w:val="22"/>
              </w:rPr>
            </w:pPr>
            <w:r>
              <w:rPr>
                <w:rFonts w:ascii="Times New Roman" w:eastAsia="Arial" w:hAnsi="Times New Roman"/>
                <w:sz w:val="28"/>
                <w:szCs w:val="22"/>
              </w:rPr>
              <w:t>4</w:t>
            </w:r>
          </w:p>
        </w:tc>
        <w:tc>
          <w:tcPr>
            <w:tcW w:w="8939" w:type="dxa"/>
            <w:shd w:val="clear" w:color="auto" w:fill="auto"/>
            <w:vAlign w:val="center"/>
          </w:tcPr>
          <w:p w:rsidR="0047704D" w:rsidRPr="005F4E5B" w:rsidRDefault="0047704D" w:rsidP="00733DFB">
            <w:pPr>
              <w:jc w:val="both"/>
              <w:rPr>
                <w:rFonts w:ascii="Times New Roman" w:eastAsia="Arial" w:hAnsi="Times New Roman"/>
                <w:sz w:val="28"/>
                <w:szCs w:val="22"/>
              </w:rPr>
            </w:pPr>
            <w:r w:rsidRPr="00E92A84">
              <w:rPr>
                <w:rFonts w:ascii="Times New Roman" w:eastAsia="Arial" w:hAnsi="Times New Roman"/>
                <w:spacing w:val="-6"/>
                <w:sz w:val="28"/>
                <w:szCs w:val="22"/>
              </w:rPr>
              <w:t>Nghị quyết số 1211/2016/UBTVQH13 ngày 25/5/2016 của Ủy ban Th</w:t>
            </w:r>
            <w:r w:rsidRPr="00E92A84">
              <w:rPr>
                <w:rFonts w:ascii="Times New Roman" w:eastAsia="Arial" w:hAnsi="Times New Roman" w:hint="eastAsia"/>
                <w:spacing w:val="-6"/>
                <w:sz w:val="28"/>
                <w:szCs w:val="22"/>
              </w:rPr>
              <w:t>ư</w:t>
            </w:r>
            <w:r w:rsidRPr="00E92A84">
              <w:rPr>
                <w:rFonts w:ascii="Times New Roman" w:eastAsia="Arial" w:hAnsi="Times New Roman"/>
                <w:spacing w:val="-6"/>
                <w:sz w:val="28"/>
                <w:szCs w:val="22"/>
              </w:rPr>
              <w:t xml:space="preserve">ờng vụ Quốc hội về tiêu chuẩn của </w:t>
            </w:r>
            <w:r w:rsidRPr="00E92A84">
              <w:rPr>
                <w:rFonts w:ascii="Times New Roman" w:eastAsia="Arial" w:hAnsi="Times New Roman" w:hint="eastAsia"/>
                <w:spacing w:val="-6"/>
                <w:sz w:val="28"/>
                <w:szCs w:val="22"/>
              </w:rPr>
              <w:t>đơ</w:t>
            </w:r>
            <w:r w:rsidRPr="00E92A84">
              <w:rPr>
                <w:rFonts w:ascii="Times New Roman" w:eastAsia="Arial" w:hAnsi="Times New Roman"/>
                <w:spacing w:val="-6"/>
                <w:sz w:val="28"/>
                <w:szCs w:val="22"/>
              </w:rPr>
              <w:t xml:space="preserve">n vị hành chính và phân loại </w:t>
            </w:r>
            <w:r w:rsidRPr="00E92A84">
              <w:rPr>
                <w:rFonts w:ascii="Times New Roman" w:eastAsia="Arial" w:hAnsi="Times New Roman" w:hint="eastAsia"/>
                <w:spacing w:val="-6"/>
                <w:sz w:val="28"/>
                <w:szCs w:val="22"/>
              </w:rPr>
              <w:t>đơ</w:t>
            </w:r>
            <w:r w:rsidRPr="00E92A84">
              <w:rPr>
                <w:rFonts w:ascii="Times New Roman" w:eastAsia="Arial" w:hAnsi="Times New Roman"/>
                <w:spacing w:val="-6"/>
                <w:sz w:val="28"/>
                <w:szCs w:val="22"/>
              </w:rPr>
              <w:t>n vị hành chính</w:t>
            </w:r>
            <w:r>
              <w:rPr>
                <w:rFonts w:ascii="Times New Roman" w:eastAsia="Arial" w:hAnsi="Times New Roman"/>
                <w:sz w:val="28"/>
                <w:szCs w:val="22"/>
              </w:rPr>
              <w:t>.</w:t>
            </w:r>
          </w:p>
        </w:tc>
      </w:tr>
      <w:tr w:rsidR="0047704D" w:rsidRPr="005F4E5B" w:rsidTr="00733DFB">
        <w:trPr>
          <w:trHeight w:val="1263"/>
        </w:trPr>
        <w:tc>
          <w:tcPr>
            <w:tcW w:w="675" w:type="dxa"/>
            <w:shd w:val="clear" w:color="auto" w:fill="auto"/>
            <w:vAlign w:val="center"/>
          </w:tcPr>
          <w:p w:rsidR="0047704D" w:rsidRPr="005F4E5B" w:rsidRDefault="0047704D" w:rsidP="00733DFB">
            <w:pPr>
              <w:jc w:val="center"/>
              <w:rPr>
                <w:rFonts w:ascii="Times New Roman" w:eastAsia="Arial" w:hAnsi="Times New Roman"/>
                <w:sz w:val="28"/>
                <w:szCs w:val="22"/>
              </w:rPr>
            </w:pPr>
            <w:r>
              <w:rPr>
                <w:rFonts w:ascii="Times New Roman" w:eastAsia="Arial" w:hAnsi="Times New Roman"/>
                <w:sz w:val="28"/>
                <w:szCs w:val="22"/>
              </w:rPr>
              <w:t>5</w:t>
            </w:r>
          </w:p>
        </w:tc>
        <w:tc>
          <w:tcPr>
            <w:tcW w:w="8939" w:type="dxa"/>
            <w:shd w:val="clear" w:color="auto" w:fill="auto"/>
            <w:vAlign w:val="center"/>
          </w:tcPr>
          <w:p w:rsidR="0047704D" w:rsidRPr="005F4E5B" w:rsidRDefault="0047704D" w:rsidP="00733DFB">
            <w:pPr>
              <w:jc w:val="both"/>
              <w:rPr>
                <w:rFonts w:ascii="Times New Roman" w:eastAsia="Arial" w:hAnsi="Times New Roman"/>
                <w:sz w:val="28"/>
                <w:szCs w:val="22"/>
              </w:rPr>
            </w:pPr>
            <w:r w:rsidRPr="005F4E5B">
              <w:rPr>
                <w:rFonts w:ascii="Times New Roman" w:eastAsia="Arial" w:hAnsi="Times New Roman"/>
                <w:sz w:val="28"/>
                <w:szCs w:val="22"/>
              </w:rPr>
              <w:t>Nghị định số 92/2009/NĐ-CP ngày 22/10/2009/NĐ-CP của Chính phủ về chức danh, số lượng, một số chế độ, chính sách đối với cán bộ, công chức xã, phường, thị trấn và những người hoạt động không chuyên trách ở cấp xã</w:t>
            </w:r>
          </w:p>
        </w:tc>
      </w:tr>
      <w:tr w:rsidR="0047704D" w:rsidRPr="005F4E5B" w:rsidTr="00733DFB">
        <w:trPr>
          <w:trHeight w:val="840"/>
        </w:trPr>
        <w:tc>
          <w:tcPr>
            <w:tcW w:w="675" w:type="dxa"/>
            <w:shd w:val="clear" w:color="auto" w:fill="auto"/>
            <w:vAlign w:val="center"/>
          </w:tcPr>
          <w:p w:rsidR="0047704D" w:rsidRPr="005F4E5B" w:rsidRDefault="0047704D" w:rsidP="00733DFB">
            <w:pPr>
              <w:jc w:val="center"/>
              <w:rPr>
                <w:rFonts w:ascii="Times New Roman" w:eastAsia="Arial" w:hAnsi="Times New Roman"/>
                <w:sz w:val="28"/>
                <w:szCs w:val="22"/>
              </w:rPr>
            </w:pPr>
            <w:r>
              <w:rPr>
                <w:rFonts w:ascii="Times New Roman" w:eastAsia="Arial" w:hAnsi="Times New Roman"/>
                <w:sz w:val="28"/>
                <w:szCs w:val="22"/>
              </w:rPr>
              <w:t>6</w:t>
            </w:r>
          </w:p>
        </w:tc>
        <w:tc>
          <w:tcPr>
            <w:tcW w:w="8939" w:type="dxa"/>
            <w:shd w:val="clear" w:color="auto" w:fill="auto"/>
            <w:vAlign w:val="center"/>
          </w:tcPr>
          <w:p w:rsidR="0047704D" w:rsidRPr="005F4E5B" w:rsidRDefault="0047704D" w:rsidP="00733DFB">
            <w:pPr>
              <w:jc w:val="both"/>
              <w:rPr>
                <w:rFonts w:ascii="Times New Roman" w:eastAsia="Arial" w:hAnsi="Times New Roman"/>
                <w:sz w:val="28"/>
                <w:szCs w:val="22"/>
              </w:rPr>
            </w:pPr>
            <w:r w:rsidRPr="005F4E5B">
              <w:rPr>
                <w:rFonts w:ascii="Times New Roman" w:eastAsia="Arial" w:hAnsi="Times New Roman"/>
                <w:sz w:val="28"/>
                <w:szCs w:val="22"/>
              </w:rPr>
              <w:t>Nghị định 112/2011/NĐ-CP ngày 05/12/2011 của Chính phủ về công chức xã, phường, thị trấn</w:t>
            </w:r>
          </w:p>
        </w:tc>
      </w:tr>
      <w:tr w:rsidR="0047704D" w:rsidRPr="005F4E5B" w:rsidTr="00733DFB">
        <w:trPr>
          <w:trHeight w:val="1125"/>
        </w:trPr>
        <w:tc>
          <w:tcPr>
            <w:tcW w:w="675" w:type="dxa"/>
            <w:shd w:val="clear" w:color="auto" w:fill="auto"/>
            <w:vAlign w:val="center"/>
          </w:tcPr>
          <w:p w:rsidR="0047704D" w:rsidRPr="005F4E5B" w:rsidRDefault="0047704D" w:rsidP="00733DFB">
            <w:pPr>
              <w:jc w:val="center"/>
              <w:rPr>
                <w:rFonts w:ascii="Times New Roman" w:eastAsia="Arial" w:hAnsi="Times New Roman"/>
                <w:sz w:val="28"/>
                <w:szCs w:val="22"/>
              </w:rPr>
            </w:pPr>
            <w:r>
              <w:rPr>
                <w:rFonts w:ascii="Times New Roman" w:eastAsia="Arial" w:hAnsi="Times New Roman"/>
                <w:sz w:val="28"/>
                <w:szCs w:val="22"/>
              </w:rPr>
              <w:t>7</w:t>
            </w:r>
          </w:p>
        </w:tc>
        <w:tc>
          <w:tcPr>
            <w:tcW w:w="8939" w:type="dxa"/>
            <w:shd w:val="clear" w:color="auto" w:fill="auto"/>
            <w:vAlign w:val="center"/>
          </w:tcPr>
          <w:p w:rsidR="0047704D" w:rsidRPr="005F4E5B" w:rsidRDefault="0047704D" w:rsidP="00733DFB">
            <w:pPr>
              <w:jc w:val="both"/>
              <w:rPr>
                <w:rFonts w:ascii="Times New Roman" w:eastAsia="Arial" w:hAnsi="Times New Roman"/>
                <w:sz w:val="28"/>
                <w:szCs w:val="22"/>
              </w:rPr>
            </w:pPr>
            <w:r w:rsidRPr="005F4E5B">
              <w:rPr>
                <w:rFonts w:ascii="Times New Roman" w:eastAsia="Arial" w:hAnsi="Times New Roman"/>
                <w:sz w:val="28"/>
                <w:szCs w:val="22"/>
              </w:rPr>
              <w:t>Nghị định số 34/2019/NĐ-CP ngày 24/4/2019 của Chính phủ sửa đổi, bổ sung một số quy định về cán bộ, công chức cấp xã và người hoạt động không chuyên trách ở cấp xã, ở thôn, tổ dân phố</w:t>
            </w:r>
          </w:p>
        </w:tc>
      </w:tr>
      <w:tr w:rsidR="0047704D" w:rsidRPr="005F4E5B" w:rsidTr="00733DFB">
        <w:trPr>
          <w:trHeight w:val="837"/>
        </w:trPr>
        <w:tc>
          <w:tcPr>
            <w:tcW w:w="675" w:type="dxa"/>
            <w:shd w:val="clear" w:color="auto" w:fill="auto"/>
            <w:vAlign w:val="center"/>
          </w:tcPr>
          <w:p w:rsidR="0047704D" w:rsidRPr="005F4E5B" w:rsidRDefault="0047704D" w:rsidP="00733DFB">
            <w:pPr>
              <w:jc w:val="center"/>
              <w:rPr>
                <w:rFonts w:ascii="Times New Roman" w:eastAsia="Arial" w:hAnsi="Times New Roman"/>
                <w:sz w:val="28"/>
                <w:szCs w:val="22"/>
              </w:rPr>
            </w:pPr>
            <w:r>
              <w:rPr>
                <w:rFonts w:ascii="Times New Roman" w:eastAsia="Arial" w:hAnsi="Times New Roman"/>
                <w:sz w:val="28"/>
                <w:szCs w:val="22"/>
              </w:rPr>
              <w:t>8</w:t>
            </w:r>
          </w:p>
        </w:tc>
        <w:tc>
          <w:tcPr>
            <w:tcW w:w="8939" w:type="dxa"/>
            <w:shd w:val="clear" w:color="auto" w:fill="auto"/>
            <w:vAlign w:val="center"/>
          </w:tcPr>
          <w:p w:rsidR="0047704D" w:rsidRPr="00051C08" w:rsidRDefault="0047704D" w:rsidP="00733DFB">
            <w:pPr>
              <w:jc w:val="both"/>
              <w:rPr>
                <w:rFonts w:ascii="Times New Roman" w:eastAsia="Arial" w:hAnsi="Times New Roman"/>
                <w:sz w:val="28"/>
                <w:szCs w:val="22"/>
              </w:rPr>
            </w:pPr>
            <w:r w:rsidRPr="00051C08">
              <w:rPr>
                <w:rFonts w:ascii="Times New Roman" w:eastAsia="Arial" w:hAnsi="Times New Roman"/>
                <w:sz w:val="28"/>
                <w:szCs w:val="22"/>
              </w:rPr>
              <w:t xml:space="preserve">Nghị định số 90/2020/NĐ-CP ngày 13/8/2020 của Chính phủ về đánh giá, xếp loại </w:t>
            </w:r>
            <w:r>
              <w:rPr>
                <w:rFonts w:ascii="Times New Roman" w:eastAsia="Arial" w:hAnsi="Times New Roman"/>
                <w:sz w:val="28"/>
                <w:szCs w:val="22"/>
              </w:rPr>
              <w:t xml:space="preserve">chất lượng </w:t>
            </w:r>
            <w:r w:rsidRPr="00051C08">
              <w:rPr>
                <w:rFonts w:ascii="Times New Roman" w:eastAsia="Arial" w:hAnsi="Times New Roman"/>
                <w:sz w:val="28"/>
                <w:szCs w:val="22"/>
              </w:rPr>
              <w:t>cán bộ, công chức, viên chức</w:t>
            </w:r>
          </w:p>
        </w:tc>
      </w:tr>
      <w:tr w:rsidR="0047704D" w:rsidRPr="005F4E5B" w:rsidTr="00733DFB">
        <w:trPr>
          <w:trHeight w:val="836"/>
        </w:trPr>
        <w:tc>
          <w:tcPr>
            <w:tcW w:w="675" w:type="dxa"/>
            <w:shd w:val="clear" w:color="auto" w:fill="auto"/>
            <w:vAlign w:val="center"/>
          </w:tcPr>
          <w:p w:rsidR="0047704D" w:rsidRPr="005F4E5B" w:rsidRDefault="0047704D" w:rsidP="00733DFB">
            <w:pPr>
              <w:jc w:val="center"/>
              <w:rPr>
                <w:rFonts w:ascii="Times New Roman" w:eastAsia="Arial" w:hAnsi="Times New Roman"/>
                <w:sz w:val="28"/>
                <w:szCs w:val="22"/>
              </w:rPr>
            </w:pPr>
            <w:r>
              <w:rPr>
                <w:rFonts w:ascii="Times New Roman" w:eastAsia="Arial" w:hAnsi="Times New Roman"/>
                <w:sz w:val="28"/>
                <w:szCs w:val="22"/>
              </w:rPr>
              <w:t>9</w:t>
            </w:r>
          </w:p>
        </w:tc>
        <w:tc>
          <w:tcPr>
            <w:tcW w:w="8939" w:type="dxa"/>
            <w:shd w:val="clear" w:color="auto" w:fill="auto"/>
            <w:vAlign w:val="center"/>
          </w:tcPr>
          <w:p w:rsidR="0047704D" w:rsidRPr="005F4E5B" w:rsidRDefault="0047704D" w:rsidP="00733DFB">
            <w:pPr>
              <w:jc w:val="both"/>
              <w:rPr>
                <w:rFonts w:ascii="Times New Roman" w:eastAsia="Arial" w:hAnsi="Times New Roman"/>
                <w:sz w:val="28"/>
                <w:szCs w:val="22"/>
              </w:rPr>
            </w:pPr>
            <w:r w:rsidRPr="005F4E5B">
              <w:rPr>
                <w:rFonts w:ascii="Times New Roman" w:eastAsia="Arial" w:hAnsi="Times New Roman"/>
                <w:sz w:val="28"/>
                <w:szCs w:val="22"/>
              </w:rPr>
              <w:t>Nghị định số 112/2020/NĐ-CP ngày 18/9/2020 của Chính phủ về xử lý kỷ luật cán bộ, công chức, viên chức</w:t>
            </w:r>
          </w:p>
        </w:tc>
      </w:tr>
      <w:tr w:rsidR="0047704D" w:rsidRPr="005F4E5B" w:rsidTr="00733DFB">
        <w:trPr>
          <w:trHeight w:val="1131"/>
        </w:trPr>
        <w:tc>
          <w:tcPr>
            <w:tcW w:w="675" w:type="dxa"/>
            <w:shd w:val="clear" w:color="auto" w:fill="auto"/>
            <w:vAlign w:val="center"/>
          </w:tcPr>
          <w:p w:rsidR="0047704D" w:rsidRPr="005F4E5B" w:rsidRDefault="0047704D" w:rsidP="00733DFB">
            <w:pPr>
              <w:jc w:val="center"/>
              <w:rPr>
                <w:rFonts w:ascii="Times New Roman" w:eastAsia="Arial" w:hAnsi="Times New Roman"/>
                <w:sz w:val="28"/>
                <w:szCs w:val="22"/>
              </w:rPr>
            </w:pPr>
            <w:r>
              <w:rPr>
                <w:rFonts w:ascii="Times New Roman" w:eastAsia="Arial" w:hAnsi="Times New Roman"/>
                <w:sz w:val="28"/>
                <w:szCs w:val="22"/>
              </w:rPr>
              <w:t>10</w:t>
            </w:r>
          </w:p>
        </w:tc>
        <w:tc>
          <w:tcPr>
            <w:tcW w:w="8939" w:type="dxa"/>
            <w:shd w:val="clear" w:color="auto" w:fill="auto"/>
            <w:vAlign w:val="center"/>
          </w:tcPr>
          <w:p w:rsidR="0047704D" w:rsidRPr="005F4E5B" w:rsidRDefault="0047704D" w:rsidP="00733DFB">
            <w:pPr>
              <w:jc w:val="both"/>
              <w:rPr>
                <w:rFonts w:ascii="Times New Roman" w:eastAsia="Arial" w:hAnsi="Times New Roman"/>
                <w:sz w:val="28"/>
                <w:szCs w:val="22"/>
              </w:rPr>
            </w:pPr>
            <w:r w:rsidRPr="005F4E5B">
              <w:rPr>
                <w:rFonts w:ascii="Times New Roman" w:eastAsia="Arial" w:hAnsi="Times New Roman"/>
                <w:sz w:val="28"/>
                <w:szCs w:val="22"/>
              </w:rPr>
              <w:t>Thông tư số 13/2019/TT-BNV ngày 06/11/2019 của Bộ Nội vụ hướng dẫn một số quy định về cán bộ, công chức cấp xã và người hoạt động không chuyên trách ở cấp xã, ở thôn, tổ dân phố</w:t>
            </w:r>
          </w:p>
        </w:tc>
      </w:tr>
    </w:tbl>
    <w:p w:rsidR="0047704D" w:rsidRDefault="0047704D" w:rsidP="0047704D">
      <w:pPr>
        <w:jc w:val="center"/>
        <w:rPr>
          <w:rFonts w:ascii="Times New Roman" w:hAnsi="Times New Roman"/>
          <w:b/>
          <w:sz w:val="28"/>
          <w:szCs w:val="28"/>
        </w:rPr>
      </w:pPr>
    </w:p>
    <w:p w:rsidR="0047704D" w:rsidRDefault="0047704D" w:rsidP="0047704D">
      <w:pPr>
        <w:jc w:val="center"/>
        <w:rPr>
          <w:rFonts w:ascii="Times New Roman" w:hAnsi="Times New Roman"/>
          <w:b/>
          <w:sz w:val="28"/>
          <w:szCs w:val="28"/>
        </w:rPr>
      </w:pPr>
    </w:p>
    <w:p w:rsidR="0047704D" w:rsidRDefault="0047704D" w:rsidP="0047704D">
      <w:pPr>
        <w:jc w:val="center"/>
        <w:rPr>
          <w:rFonts w:ascii="Times New Roman" w:hAnsi="Times New Roman"/>
          <w:b/>
          <w:sz w:val="28"/>
          <w:szCs w:val="28"/>
        </w:rPr>
      </w:pPr>
    </w:p>
    <w:p w:rsidR="0047704D" w:rsidRDefault="0047704D" w:rsidP="0047704D">
      <w:pPr>
        <w:jc w:val="center"/>
        <w:rPr>
          <w:rFonts w:ascii="Times New Roman" w:hAnsi="Times New Roman"/>
          <w:b/>
          <w:sz w:val="28"/>
          <w:szCs w:val="28"/>
        </w:rPr>
      </w:pPr>
    </w:p>
    <w:p w:rsidR="0047704D" w:rsidRDefault="0047704D" w:rsidP="0047704D">
      <w:pPr>
        <w:jc w:val="center"/>
        <w:rPr>
          <w:rFonts w:ascii="Times New Roman" w:hAnsi="Times New Roman"/>
          <w:b/>
          <w:sz w:val="28"/>
          <w:szCs w:val="28"/>
        </w:rPr>
      </w:pPr>
    </w:p>
    <w:p w:rsidR="0047704D" w:rsidRDefault="0047704D" w:rsidP="0047704D">
      <w:pPr>
        <w:jc w:val="center"/>
        <w:rPr>
          <w:rFonts w:ascii="Times New Roman" w:hAnsi="Times New Roman"/>
          <w:b/>
          <w:sz w:val="28"/>
          <w:szCs w:val="28"/>
        </w:rPr>
      </w:pPr>
    </w:p>
    <w:p w:rsidR="0047704D" w:rsidRDefault="0047704D" w:rsidP="0047704D">
      <w:pPr>
        <w:jc w:val="center"/>
        <w:rPr>
          <w:rFonts w:ascii="Times New Roman" w:hAnsi="Times New Roman"/>
          <w:b/>
          <w:sz w:val="28"/>
          <w:szCs w:val="28"/>
        </w:rPr>
      </w:pPr>
    </w:p>
    <w:p w:rsidR="0047704D" w:rsidRDefault="0047704D" w:rsidP="0047704D">
      <w:pPr>
        <w:jc w:val="center"/>
        <w:rPr>
          <w:rFonts w:ascii="Times New Roman" w:hAnsi="Times New Roman"/>
          <w:b/>
          <w:sz w:val="28"/>
          <w:szCs w:val="28"/>
        </w:rPr>
      </w:pPr>
    </w:p>
    <w:p w:rsidR="0047704D" w:rsidRDefault="0047704D" w:rsidP="0047704D">
      <w:pPr>
        <w:jc w:val="center"/>
        <w:rPr>
          <w:rFonts w:ascii="Times New Roman" w:hAnsi="Times New Roman"/>
          <w:b/>
          <w:sz w:val="28"/>
          <w:szCs w:val="28"/>
        </w:rPr>
      </w:pPr>
    </w:p>
    <w:p w:rsidR="0047704D" w:rsidRPr="00BA324E" w:rsidRDefault="0047704D" w:rsidP="0047704D">
      <w:pPr>
        <w:jc w:val="center"/>
        <w:rPr>
          <w:rFonts w:ascii="Times New Roman" w:hAnsi="Times New Roman"/>
          <w:b/>
          <w:sz w:val="28"/>
          <w:szCs w:val="28"/>
        </w:rPr>
      </w:pPr>
      <w:r w:rsidRPr="00BA324E">
        <w:rPr>
          <w:rFonts w:ascii="Times New Roman" w:hAnsi="Times New Roman"/>
          <w:b/>
          <w:sz w:val="28"/>
          <w:szCs w:val="28"/>
          <w:lang w:val="vi-VN"/>
        </w:rPr>
        <w:lastRenderedPageBreak/>
        <w:t xml:space="preserve">DANH MỤC </w:t>
      </w:r>
      <w:r w:rsidRPr="00BA324E">
        <w:rPr>
          <w:rFonts w:ascii="Times New Roman" w:hAnsi="Times New Roman"/>
          <w:b/>
          <w:sz w:val="28"/>
          <w:szCs w:val="28"/>
        </w:rPr>
        <w:t>TÀI LIỆU ÔN T</w:t>
      </w:r>
      <w:r w:rsidR="002C5230">
        <w:rPr>
          <w:rFonts w:ascii="Times New Roman" w:hAnsi="Times New Roman"/>
          <w:b/>
          <w:sz w:val="28"/>
          <w:szCs w:val="28"/>
        </w:rPr>
        <w:t>HI</w:t>
      </w:r>
      <w:bookmarkStart w:id="0" w:name="_GoBack"/>
      <w:bookmarkEnd w:id="0"/>
    </w:p>
    <w:p w:rsidR="0047704D" w:rsidRPr="00BA324E" w:rsidRDefault="0047704D" w:rsidP="0047704D">
      <w:pPr>
        <w:jc w:val="center"/>
        <w:rPr>
          <w:rFonts w:ascii="Times New Roman" w:hAnsi="Times New Roman"/>
          <w:b/>
          <w:sz w:val="28"/>
          <w:szCs w:val="28"/>
        </w:rPr>
      </w:pPr>
      <w:r w:rsidRPr="00BA324E">
        <w:rPr>
          <w:rFonts w:ascii="Times New Roman" w:hAnsi="Times New Roman"/>
          <w:b/>
          <w:sz w:val="28"/>
          <w:szCs w:val="28"/>
        </w:rPr>
        <w:t>KỲ TUYỂN DỤNG CÔNG CHỨC XÃ NĂM 2020</w:t>
      </w:r>
    </w:p>
    <w:p w:rsidR="0047704D" w:rsidRPr="00BA324E" w:rsidRDefault="0047704D" w:rsidP="0047704D">
      <w:pPr>
        <w:jc w:val="center"/>
        <w:rPr>
          <w:rFonts w:ascii="Times New Roman" w:hAnsi="Times New Roman"/>
          <w:b/>
          <w:spacing w:val="2"/>
          <w:sz w:val="28"/>
          <w:szCs w:val="28"/>
        </w:rPr>
      </w:pPr>
      <w:r w:rsidRPr="00BA324E">
        <w:rPr>
          <w:rFonts w:ascii="Times New Roman" w:hAnsi="Times New Roman"/>
          <w:b/>
          <w:sz w:val="28"/>
          <w:szCs w:val="28"/>
        </w:rPr>
        <w:t>Sát hạch chức danh</w:t>
      </w:r>
      <w:r w:rsidRPr="00BA324E">
        <w:rPr>
          <w:rFonts w:ascii="Times New Roman" w:hAnsi="Times New Roman"/>
          <w:b/>
          <w:spacing w:val="2"/>
          <w:sz w:val="28"/>
          <w:szCs w:val="28"/>
        </w:rPr>
        <w:t xml:space="preserve"> Văn hóa - xã hội</w:t>
      </w:r>
    </w:p>
    <w:p w:rsidR="0047704D" w:rsidRPr="00BA324E" w:rsidRDefault="0047704D" w:rsidP="0047704D">
      <w:pPr>
        <w:jc w:val="center"/>
        <w:rPr>
          <w:rFonts w:ascii="Times New Roman" w:hAnsi="Times New Roman"/>
          <w:i/>
          <w:sz w:val="28"/>
          <w:szCs w:val="28"/>
          <w:lang w:val="vi-VN"/>
        </w:rPr>
      </w:pPr>
      <w:r w:rsidRPr="00BA324E">
        <w:rPr>
          <w:rFonts w:ascii="Times New Roman" w:hAnsi="Times New Roman"/>
          <w:i/>
          <w:spacing w:val="2"/>
          <w:sz w:val="28"/>
          <w:szCs w:val="28"/>
        </w:rPr>
        <w:t xml:space="preserve">(Phần nghiệp vụ </w:t>
      </w:r>
      <w:r>
        <w:rPr>
          <w:rFonts w:ascii="Times New Roman" w:hAnsi="Times New Roman"/>
          <w:i/>
          <w:spacing w:val="2"/>
          <w:sz w:val="28"/>
          <w:szCs w:val="28"/>
        </w:rPr>
        <w:t>chuyên môn, nghiệp vụ</w:t>
      </w:r>
      <w:r w:rsidRPr="00BA324E">
        <w:rPr>
          <w:rFonts w:ascii="Times New Roman" w:hAnsi="Times New Roman"/>
          <w:i/>
          <w:spacing w:val="2"/>
          <w:sz w:val="28"/>
          <w:szCs w:val="28"/>
        </w:rPr>
        <w:t>)</w:t>
      </w:r>
    </w:p>
    <w:p w:rsidR="0047704D" w:rsidRPr="00BA324E" w:rsidRDefault="0047704D" w:rsidP="0047704D">
      <w:pPr>
        <w:spacing w:before="120" w:line="340" w:lineRule="exact"/>
        <w:ind w:firstLine="720"/>
        <w:jc w:val="center"/>
        <w:rPr>
          <w:rFonts w:ascii="Times New Roman" w:hAnsi="Times New Roman"/>
          <w:b/>
          <w:sz w:val="28"/>
          <w:szCs w:val="28"/>
          <w:lang w:val="vi-VN"/>
        </w:rPr>
      </w:pPr>
      <w:r w:rsidRPr="00BA324E">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2501265</wp:posOffset>
                </wp:positionH>
                <wp:positionV relativeFrom="paragraph">
                  <wp:posOffset>91440</wp:posOffset>
                </wp:positionV>
                <wp:extent cx="1165860" cy="0"/>
                <wp:effectExtent l="9525" t="9525" r="571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05E3A7" id="_x0000_t32" coordsize="21600,21600" o:spt="32" o:oned="t" path="m,l21600,21600e" filled="f">
                <v:path arrowok="t" fillok="f" o:connecttype="none"/>
                <o:lock v:ext="edit" shapetype="t"/>
              </v:shapetype>
              <v:shape id="Straight Arrow Connector 4" o:spid="_x0000_s1026" type="#_x0000_t32" style="position:absolute;margin-left:196.95pt;margin-top:7.2pt;width:9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I5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"/>
            </w:pict>
          </mc:Fallback>
        </mc:AlternateContent>
      </w:r>
    </w:p>
    <w:p w:rsidR="0047704D" w:rsidRPr="00BA324E" w:rsidRDefault="0047704D" w:rsidP="0047704D">
      <w:pPr>
        <w:spacing w:before="120" w:after="120"/>
        <w:ind w:firstLine="720"/>
        <w:jc w:val="both"/>
        <w:rPr>
          <w:rFonts w:ascii="Times New Roman" w:hAnsi="Times New Roman"/>
          <w:sz w:val="28"/>
          <w:szCs w:val="28"/>
          <w:lang w:val="vi-VN"/>
        </w:rPr>
      </w:pPr>
      <w:r w:rsidRPr="00BA324E">
        <w:rPr>
          <w:rFonts w:ascii="Times New Roman" w:hAnsi="Times New Roman"/>
          <w:sz w:val="28"/>
          <w:szCs w:val="28"/>
          <w:lang w:val="vi-VN"/>
        </w:rPr>
        <w:t>1. Luật Trẻ em 2016.</w:t>
      </w:r>
    </w:p>
    <w:p w:rsidR="0047704D" w:rsidRPr="00BA324E" w:rsidRDefault="0047704D" w:rsidP="0047704D">
      <w:pPr>
        <w:spacing w:before="120" w:after="120"/>
        <w:ind w:firstLine="720"/>
        <w:jc w:val="both"/>
        <w:rPr>
          <w:rFonts w:ascii="Times New Roman" w:hAnsi="Times New Roman"/>
          <w:sz w:val="28"/>
          <w:szCs w:val="28"/>
          <w:lang w:val="vi-VN"/>
        </w:rPr>
      </w:pPr>
      <w:r w:rsidRPr="00BA324E">
        <w:rPr>
          <w:rFonts w:ascii="Times New Roman" w:hAnsi="Times New Roman"/>
          <w:sz w:val="28"/>
          <w:szCs w:val="28"/>
          <w:lang w:val="vi-VN"/>
        </w:rPr>
        <w:t>2. Luật Người cao tuổi 2009.</w:t>
      </w:r>
    </w:p>
    <w:p w:rsidR="0047704D" w:rsidRPr="00BA324E" w:rsidRDefault="0047704D" w:rsidP="0047704D">
      <w:pPr>
        <w:spacing w:before="120" w:after="120"/>
        <w:ind w:firstLine="720"/>
        <w:jc w:val="both"/>
        <w:rPr>
          <w:rFonts w:ascii="Times New Roman" w:hAnsi="Times New Roman"/>
          <w:sz w:val="28"/>
          <w:szCs w:val="28"/>
          <w:lang w:val="vi-VN"/>
        </w:rPr>
      </w:pPr>
      <w:r w:rsidRPr="00BA324E">
        <w:rPr>
          <w:rFonts w:ascii="Times New Roman" w:hAnsi="Times New Roman"/>
          <w:sz w:val="28"/>
          <w:szCs w:val="28"/>
          <w:lang w:val="vi-VN"/>
        </w:rPr>
        <w:t>3. Luật Người khuyết tật 2010.</w:t>
      </w:r>
    </w:p>
    <w:p w:rsidR="0047704D" w:rsidRPr="00BA324E" w:rsidRDefault="0047704D" w:rsidP="0047704D">
      <w:pPr>
        <w:spacing w:before="120" w:after="120"/>
        <w:ind w:firstLine="720"/>
        <w:jc w:val="both"/>
        <w:rPr>
          <w:rFonts w:ascii="Times New Roman" w:hAnsi="Times New Roman"/>
          <w:sz w:val="28"/>
          <w:szCs w:val="28"/>
          <w:lang w:val="vi-VN"/>
        </w:rPr>
      </w:pPr>
      <w:r w:rsidRPr="00BA324E">
        <w:rPr>
          <w:rFonts w:ascii="Times New Roman" w:hAnsi="Times New Roman"/>
          <w:sz w:val="28"/>
          <w:szCs w:val="28"/>
          <w:lang w:val="vi-VN"/>
        </w:rPr>
        <w:t>4. Luật phòng chống ma túy năm 2000, sửa đổi 2008.</w:t>
      </w:r>
    </w:p>
    <w:p w:rsidR="0047704D" w:rsidRPr="00BA324E" w:rsidRDefault="0047704D" w:rsidP="0047704D">
      <w:pPr>
        <w:spacing w:before="120" w:after="120"/>
        <w:ind w:firstLine="720"/>
        <w:jc w:val="both"/>
        <w:rPr>
          <w:rFonts w:ascii="Times New Roman" w:hAnsi="Times New Roman"/>
          <w:sz w:val="28"/>
          <w:szCs w:val="28"/>
          <w:lang w:val="vi-VN"/>
        </w:rPr>
      </w:pPr>
      <w:r w:rsidRPr="00BA324E">
        <w:rPr>
          <w:rFonts w:ascii="Times New Roman" w:hAnsi="Times New Roman"/>
          <w:sz w:val="28"/>
          <w:szCs w:val="28"/>
          <w:lang w:val="nl-NL"/>
        </w:rPr>
        <w:t>5. Nghị định số 20/2021/NĐ-CP ngày 15/3/2021 của Chính phủ quy định chính sách trợ giúp xã hội đối với đối tượng bảo trợ xã hội</w:t>
      </w:r>
    </w:p>
    <w:p w:rsidR="0047704D" w:rsidRPr="00BA324E" w:rsidRDefault="0047704D" w:rsidP="0047704D">
      <w:pPr>
        <w:spacing w:before="120" w:after="120"/>
        <w:ind w:firstLine="720"/>
        <w:jc w:val="both"/>
        <w:rPr>
          <w:rFonts w:ascii="Times New Roman" w:hAnsi="Times New Roman"/>
          <w:b/>
          <w:sz w:val="28"/>
          <w:szCs w:val="28"/>
          <w:lang w:val="vi-VN"/>
        </w:rPr>
      </w:pPr>
      <w:r w:rsidRPr="00BA324E">
        <w:rPr>
          <w:rFonts w:ascii="Times New Roman" w:hAnsi="Times New Roman"/>
          <w:sz w:val="28"/>
          <w:szCs w:val="28"/>
          <w:lang w:val="vi-VN"/>
        </w:rPr>
        <w:t>6. Nghị định số 07/2021/NĐ-CP ngày 27/01/2021 của Chính phủ Quy định chuẩn nghèo đa chiều giai đoạn 2021-2025</w:t>
      </w:r>
    </w:p>
    <w:p w:rsidR="0047704D" w:rsidRPr="00BA324E" w:rsidRDefault="0047704D" w:rsidP="0047704D">
      <w:pPr>
        <w:spacing w:before="120" w:after="120"/>
        <w:ind w:firstLine="720"/>
        <w:jc w:val="both"/>
        <w:rPr>
          <w:rFonts w:ascii="Times New Roman" w:hAnsi="Times New Roman"/>
          <w:b/>
          <w:sz w:val="28"/>
          <w:szCs w:val="28"/>
        </w:rPr>
      </w:pPr>
      <w:r w:rsidRPr="00BA324E">
        <w:rPr>
          <w:rFonts w:ascii="Times New Roman" w:hAnsi="Times New Roman"/>
          <w:sz w:val="28"/>
          <w:szCs w:val="28"/>
        </w:rPr>
        <w:t>7.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2022-2025</w:t>
      </w:r>
    </w:p>
    <w:p w:rsidR="0047704D" w:rsidRPr="00BA324E" w:rsidRDefault="0047704D" w:rsidP="0047704D">
      <w:pPr>
        <w:spacing w:before="120" w:after="120"/>
        <w:ind w:firstLine="720"/>
        <w:jc w:val="both"/>
        <w:rPr>
          <w:rFonts w:ascii="Times New Roman" w:hAnsi="Times New Roman"/>
          <w:sz w:val="28"/>
          <w:szCs w:val="28"/>
        </w:rPr>
      </w:pPr>
      <w:r w:rsidRPr="00BA324E">
        <w:rPr>
          <w:rFonts w:ascii="Times New Roman" w:hAnsi="Times New Roman"/>
          <w:sz w:val="28"/>
          <w:szCs w:val="28"/>
        </w:rPr>
        <w:t>8. Thông tư số 07/2021/TT-BLĐTBXH ngày 18/7/2021 của Bộ trưởng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mẫu biểu báo cáo</w:t>
      </w:r>
    </w:p>
    <w:p w:rsidR="0047704D" w:rsidRPr="00BA324E" w:rsidRDefault="0047704D" w:rsidP="0047704D">
      <w:pPr>
        <w:spacing w:before="120" w:after="120"/>
        <w:ind w:firstLine="720"/>
        <w:jc w:val="both"/>
        <w:rPr>
          <w:rFonts w:ascii="Times New Roman" w:hAnsi="Times New Roman"/>
          <w:iCs/>
          <w:sz w:val="28"/>
          <w:szCs w:val="28"/>
        </w:rPr>
      </w:pPr>
      <w:r w:rsidRPr="00BA324E">
        <w:rPr>
          <w:rFonts w:ascii="Times New Roman" w:hAnsi="Times New Roman"/>
          <w:sz w:val="28"/>
          <w:szCs w:val="28"/>
        </w:rPr>
        <w:t xml:space="preserve">9. </w:t>
      </w:r>
      <w:r w:rsidRPr="00BA324E">
        <w:rPr>
          <w:rFonts w:ascii="Times New Roman" w:hAnsi="Times New Roman"/>
          <w:bCs/>
          <w:sz w:val="28"/>
          <w:szCs w:val="28"/>
        </w:rPr>
        <w:t xml:space="preserve">Pháp lệnh số 02/2020/UBTVQH14 ngày 09/12/2020 của </w:t>
      </w:r>
      <w:r w:rsidRPr="00BA324E">
        <w:rPr>
          <w:rFonts w:ascii="Times New Roman" w:hAnsi="Times New Roman"/>
          <w:iCs/>
          <w:sz w:val="28"/>
          <w:szCs w:val="28"/>
          <w:lang w:val="vi-VN"/>
        </w:rPr>
        <w:t xml:space="preserve">Ủy ban </w:t>
      </w:r>
      <w:r w:rsidRPr="00BA324E">
        <w:rPr>
          <w:rFonts w:ascii="Times New Roman" w:hAnsi="Times New Roman"/>
          <w:iCs/>
          <w:spacing w:val="-4"/>
          <w:sz w:val="28"/>
          <w:szCs w:val="28"/>
          <w:lang w:val="vi-VN"/>
        </w:rPr>
        <w:t xml:space="preserve">Thường vụ Quốc hội </w:t>
      </w:r>
      <w:r w:rsidRPr="00BA324E">
        <w:rPr>
          <w:rFonts w:ascii="Times New Roman" w:hAnsi="Times New Roman"/>
          <w:iCs/>
          <w:spacing w:val="-4"/>
          <w:sz w:val="28"/>
          <w:szCs w:val="28"/>
        </w:rPr>
        <w:t xml:space="preserve">về </w:t>
      </w:r>
      <w:r w:rsidRPr="00BA324E">
        <w:rPr>
          <w:rFonts w:ascii="Times New Roman" w:hAnsi="Times New Roman"/>
          <w:iCs/>
          <w:spacing w:val="-4"/>
          <w:sz w:val="28"/>
          <w:szCs w:val="28"/>
          <w:lang w:val="vi-VN"/>
        </w:rPr>
        <w:t>ban hành Pháp lệnh Ưu đãi người có công với cách mạng</w:t>
      </w:r>
      <w:r w:rsidRPr="00BA324E">
        <w:rPr>
          <w:rFonts w:ascii="Times New Roman" w:hAnsi="Times New Roman"/>
          <w:iCs/>
          <w:spacing w:val="-4"/>
          <w:sz w:val="28"/>
          <w:szCs w:val="28"/>
        </w:rPr>
        <w:t>.</w:t>
      </w:r>
    </w:p>
    <w:p w:rsidR="0047704D" w:rsidRPr="00BA324E" w:rsidRDefault="0047704D" w:rsidP="0047704D">
      <w:pPr>
        <w:spacing w:before="120" w:after="120"/>
        <w:ind w:firstLine="720"/>
        <w:jc w:val="both"/>
        <w:rPr>
          <w:rFonts w:ascii="Times New Roman" w:hAnsi="Times New Roman"/>
          <w:sz w:val="28"/>
          <w:szCs w:val="28"/>
        </w:rPr>
      </w:pPr>
      <w:r w:rsidRPr="00BA324E">
        <w:rPr>
          <w:rFonts w:ascii="Times New Roman" w:hAnsi="Times New Roman"/>
          <w:sz w:val="28"/>
          <w:szCs w:val="28"/>
        </w:rPr>
        <w:t>10. Bộ luật Lao động năm 2019.</w:t>
      </w:r>
    </w:p>
    <w:p w:rsidR="0047704D" w:rsidRPr="00BA324E" w:rsidRDefault="0047704D" w:rsidP="0047704D">
      <w:pPr>
        <w:spacing w:before="120" w:after="120"/>
        <w:ind w:firstLine="720"/>
        <w:jc w:val="both"/>
        <w:rPr>
          <w:rFonts w:ascii="Times New Roman" w:hAnsi="Times New Roman"/>
          <w:sz w:val="28"/>
          <w:szCs w:val="28"/>
        </w:rPr>
      </w:pPr>
      <w:r w:rsidRPr="00BA324E">
        <w:rPr>
          <w:rFonts w:ascii="Times New Roman" w:hAnsi="Times New Roman"/>
          <w:sz w:val="28"/>
          <w:szCs w:val="28"/>
        </w:rPr>
        <w:t>11. Luật về người lao động Việt Nam đi làm việc ở nước ngoài theo hợp đồng năm 2020.</w:t>
      </w:r>
    </w:p>
    <w:p w:rsidR="0047704D" w:rsidRPr="00BA324E" w:rsidRDefault="0047704D" w:rsidP="0047704D">
      <w:pPr>
        <w:spacing w:before="120" w:after="120"/>
        <w:ind w:firstLine="720"/>
        <w:jc w:val="both"/>
        <w:rPr>
          <w:rFonts w:ascii="Times New Roman" w:hAnsi="Times New Roman"/>
          <w:sz w:val="28"/>
          <w:szCs w:val="28"/>
        </w:rPr>
      </w:pPr>
      <w:r w:rsidRPr="00BA324E">
        <w:rPr>
          <w:rFonts w:ascii="Times New Roman" w:hAnsi="Times New Roman"/>
          <w:sz w:val="28"/>
          <w:szCs w:val="28"/>
        </w:rPr>
        <w:t>12. Luật bảo hiểm xã hội năm 2014.</w:t>
      </w:r>
    </w:p>
    <w:p w:rsidR="0047704D" w:rsidRPr="00BA324E" w:rsidRDefault="0047704D" w:rsidP="0047704D">
      <w:pPr>
        <w:spacing w:before="120" w:after="120"/>
        <w:ind w:firstLine="720"/>
        <w:jc w:val="both"/>
        <w:rPr>
          <w:rFonts w:ascii="Times New Roman" w:hAnsi="Times New Roman"/>
          <w:sz w:val="28"/>
          <w:szCs w:val="28"/>
        </w:rPr>
      </w:pPr>
      <w:r w:rsidRPr="00BA324E">
        <w:rPr>
          <w:rFonts w:ascii="Times New Roman" w:hAnsi="Times New Roman"/>
          <w:sz w:val="28"/>
          <w:szCs w:val="28"/>
        </w:rPr>
        <w:t>13. Luật Việc làm năm 2013.</w:t>
      </w:r>
    </w:p>
    <w:p w:rsidR="0047704D" w:rsidRPr="003621B5" w:rsidRDefault="0047704D" w:rsidP="0047704D">
      <w:pPr>
        <w:rPr>
          <w:rFonts w:ascii="Arial" w:hAnsi="Arial"/>
          <w:lang w:val="vi-VN"/>
        </w:rPr>
      </w:pPr>
      <w:r w:rsidRPr="003621B5">
        <w:rPr>
          <w:rFonts w:ascii="Arial" w:hAnsi="Arial"/>
          <w:noProof/>
        </w:rPr>
        <mc:AlternateContent>
          <mc:Choice Requires="wps">
            <w:drawing>
              <wp:anchor distT="0" distB="0" distL="114300" distR="114300" simplePos="0" relativeHeight="251662336" behindDoc="0" locked="0" layoutInCell="1" allowOverlap="1">
                <wp:simplePos x="0" y="0"/>
                <wp:positionH relativeFrom="column">
                  <wp:posOffset>2005965</wp:posOffset>
                </wp:positionH>
                <wp:positionV relativeFrom="paragraph">
                  <wp:posOffset>162560</wp:posOffset>
                </wp:positionV>
                <wp:extent cx="1958340" cy="0"/>
                <wp:effectExtent l="9525" t="12065" r="1333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58B31" id="Straight Arrow Connector 3" o:spid="_x0000_s1026" type="#_x0000_t32" style="position:absolute;margin-left:157.95pt;margin-top:12.8pt;width:154.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"/>
            </w:pict>
          </mc:Fallback>
        </mc:AlternateContent>
      </w:r>
    </w:p>
    <w:p w:rsidR="0047704D" w:rsidRPr="003621B5" w:rsidRDefault="0047704D" w:rsidP="0047704D">
      <w:pPr>
        <w:rPr>
          <w:rFonts w:ascii="Arial" w:hAnsi="Arial"/>
          <w:lang w:val="vi-VN"/>
        </w:rPr>
      </w:pPr>
    </w:p>
    <w:p w:rsidR="0047704D" w:rsidRPr="007769C3" w:rsidRDefault="0047704D" w:rsidP="0047704D">
      <w:pPr>
        <w:rPr>
          <w:rFonts w:ascii="Arial" w:hAnsi="Arial"/>
          <w:lang w:val="vi-VN"/>
        </w:rPr>
      </w:pPr>
    </w:p>
    <w:p w:rsidR="0047704D" w:rsidRPr="007769C3" w:rsidRDefault="0047704D" w:rsidP="0047704D">
      <w:pPr>
        <w:rPr>
          <w:rFonts w:ascii="Arial" w:hAnsi="Arial"/>
          <w:lang w:val="vi-VN"/>
        </w:rPr>
      </w:pPr>
    </w:p>
    <w:p w:rsidR="0047704D" w:rsidRPr="007769C3" w:rsidRDefault="0047704D" w:rsidP="0047704D">
      <w:pPr>
        <w:rPr>
          <w:rFonts w:ascii="Arial" w:hAnsi="Arial"/>
          <w:lang w:val="vi-VN"/>
        </w:rPr>
      </w:pPr>
    </w:p>
    <w:p w:rsidR="0047704D" w:rsidRPr="007769C3" w:rsidRDefault="0047704D" w:rsidP="0047704D">
      <w:pPr>
        <w:rPr>
          <w:rFonts w:ascii="Arial" w:hAnsi="Arial"/>
          <w:lang w:val="vi-VN"/>
        </w:rPr>
      </w:pPr>
    </w:p>
    <w:p w:rsidR="0047704D" w:rsidRPr="007769C3" w:rsidRDefault="0047704D" w:rsidP="0047704D">
      <w:pPr>
        <w:rPr>
          <w:rFonts w:ascii="Arial" w:hAnsi="Arial"/>
          <w:lang w:val="vi-VN"/>
        </w:rPr>
      </w:pPr>
    </w:p>
    <w:p w:rsidR="0047704D" w:rsidRPr="007769C3" w:rsidRDefault="0047704D" w:rsidP="0047704D">
      <w:pPr>
        <w:rPr>
          <w:rFonts w:ascii="Arial" w:hAnsi="Arial"/>
          <w:lang w:val="vi-VN"/>
        </w:rPr>
      </w:pPr>
    </w:p>
    <w:p w:rsidR="0047704D" w:rsidRPr="007769C3" w:rsidRDefault="0047704D" w:rsidP="0047704D">
      <w:pPr>
        <w:rPr>
          <w:rFonts w:ascii="Arial" w:hAnsi="Arial"/>
          <w:lang w:val="vi-VN"/>
        </w:rPr>
      </w:pPr>
    </w:p>
    <w:p w:rsidR="0047704D" w:rsidRPr="007769C3" w:rsidRDefault="0047704D" w:rsidP="0047704D">
      <w:pPr>
        <w:rPr>
          <w:rFonts w:ascii="Arial" w:hAnsi="Arial"/>
          <w:lang w:val="vi-VN"/>
        </w:rPr>
      </w:pPr>
    </w:p>
    <w:p w:rsidR="0047704D" w:rsidRPr="007769C3" w:rsidRDefault="0047704D" w:rsidP="0047704D">
      <w:pPr>
        <w:rPr>
          <w:rFonts w:ascii="Arial" w:hAnsi="Arial"/>
          <w:lang w:val="vi-VN"/>
        </w:rPr>
      </w:pPr>
    </w:p>
    <w:p w:rsidR="0047704D" w:rsidRPr="007769C3" w:rsidRDefault="0047704D" w:rsidP="0047704D">
      <w:pPr>
        <w:rPr>
          <w:rFonts w:ascii="Arial" w:hAnsi="Arial"/>
          <w:lang w:val="vi-VN"/>
        </w:rPr>
      </w:pPr>
    </w:p>
    <w:p w:rsidR="0047704D" w:rsidRDefault="0047704D" w:rsidP="0047704D">
      <w:pPr>
        <w:rPr>
          <w:rFonts w:ascii="Arial" w:hAnsi="Arial"/>
          <w:lang w:val="vi-VN"/>
        </w:rPr>
      </w:pPr>
    </w:p>
    <w:p w:rsidR="0047704D" w:rsidRPr="007769C3" w:rsidRDefault="0047704D" w:rsidP="0047704D">
      <w:pPr>
        <w:rPr>
          <w:rFonts w:ascii="Arial" w:hAnsi="Arial"/>
          <w:lang w:val="vi-VN"/>
        </w:rPr>
      </w:pPr>
    </w:p>
    <w:p w:rsidR="0047704D" w:rsidRPr="00BA324E" w:rsidRDefault="0047704D" w:rsidP="0047704D">
      <w:pPr>
        <w:jc w:val="center"/>
        <w:rPr>
          <w:rFonts w:ascii="Times New Roman" w:hAnsi="Times New Roman"/>
          <w:b/>
          <w:sz w:val="28"/>
          <w:szCs w:val="28"/>
          <w:lang w:val="vi-VN"/>
        </w:rPr>
      </w:pPr>
      <w:r w:rsidRPr="00BA324E">
        <w:rPr>
          <w:rFonts w:ascii="Times New Roman" w:hAnsi="Times New Roman"/>
          <w:b/>
          <w:sz w:val="28"/>
          <w:szCs w:val="28"/>
          <w:lang w:val="vi-VN"/>
        </w:rPr>
        <w:lastRenderedPageBreak/>
        <w:t>DANH MỤC TÀI LIỆU</w:t>
      </w:r>
    </w:p>
    <w:p w:rsidR="0047704D" w:rsidRPr="00BA324E" w:rsidRDefault="0047704D" w:rsidP="0047704D">
      <w:pPr>
        <w:jc w:val="center"/>
        <w:rPr>
          <w:rFonts w:ascii="Times New Roman" w:hAnsi="Times New Roman"/>
          <w:b/>
          <w:sz w:val="28"/>
          <w:szCs w:val="28"/>
          <w:lang w:val="vi-VN"/>
        </w:rPr>
      </w:pPr>
      <w:r w:rsidRPr="00BA324E">
        <w:rPr>
          <w:rFonts w:ascii="Times New Roman" w:hAnsi="Times New Roman"/>
          <w:b/>
          <w:sz w:val="28"/>
          <w:szCs w:val="28"/>
          <w:lang w:val="vi-VN"/>
        </w:rPr>
        <w:t>ÔN THI KỲ TUYỂN DỤNG CÔNG CHỨC XÃ NĂM 2020</w:t>
      </w:r>
    </w:p>
    <w:p w:rsidR="0047704D" w:rsidRPr="00BA324E" w:rsidRDefault="0047704D" w:rsidP="0047704D">
      <w:pPr>
        <w:jc w:val="center"/>
        <w:rPr>
          <w:rFonts w:ascii="Times New Roman" w:hAnsi="Times New Roman"/>
          <w:b/>
          <w:sz w:val="28"/>
          <w:szCs w:val="28"/>
          <w:lang w:val="vi-VN"/>
        </w:rPr>
      </w:pPr>
      <w:r w:rsidRPr="00DA0CA4">
        <w:rPr>
          <w:rFonts w:ascii="Times New Roman" w:hAnsi="Times New Roman"/>
          <w:b/>
          <w:sz w:val="28"/>
          <w:szCs w:val="28"/>
          <w:lang w:val="vi-VN"/>
        </w:rPr>
        <w:t xml:space="preserve">Sát hạch chức danh </w:t>
      </w:r>
      <w:r w:rsidRPr="00BA324E">
        <w:rPr>
          <w:rFonts w:ascii="Times New Roman" w:hAnsi="Times New Roman"/>
          <w:b/>
          <w:sz w:val="28"/>
          <w:szCs w:val="28"/>
          <w:lang w:val="vi-VN"/>
        </w:rPr>
        <w:t>Địa chính - nông nghiệp - xây dựng và môi trường</w:t>
      </w:r>
    </w:p>
    <w:p w:rsidR="0047704D" w:rsidRPr="00BA324E" w:rsidRDefault="0047704D" w:rsidP="0047704D">
      <w:pPr>
        <w:jc w:val="center"/>
        <w:rPr>
          <w:rFonts w:ascii="Times New Roman" w:hAnsi="Times New Roman"/>
          <w:i/>
          <w:sz w:val="28"/>
          <w:szCs w:val="28"/>
          <w:lang w:val="vi-VN"/>
        </w:rPr>
      </w:pPr>
      <w:r w:rsidRPr="00DB125B">
        <w:rPr>
          <w:rFonts w:ascii="Times New Roman" w:hAnsi="Times New Roman"/>
          <w:i/>
          <w:spacing w:val="2"/>
          <w:sz w:val="28"/>
          <w:szCs w:val="28"/>
          <w:lang w:val="vi-VN"/>
        </w:rPr>
        <w:t>(Phần nghiệp vụ chuyên môn, nghiệp vụ)</w:t>
      </w:r>
    </w:p>
    <w:p w:rsidR="0047704D" w:rsidRPr="00BA324E" w:rsidRDefault="0047704D" w:rsidP="0047704D">
      <w:pPr>
        <w:jc w:val="center"/>
        <w:rPr>
          <w:rFonts w:ascii="Times New Roman" w:hAnsi="Times New Roman"/>
          <w:i/>
          <w:sz w:val="28"/>
          <w:szCs w:val="28"/>
          <w:lang w:val="vi-VN"/>
        </w:rPr>
      </w:pPr>
      <w:r w:rsidRPr="00BA324E">
        <w:rPr>
          <w:rFonts w:ascii="Times New Roman" w:hAnsi="Times New Roman"/>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2299335</wp:posOffset>
                </wp:positionH>
                <wp:positionV relativeFrom="paragraph">
                  <wp:posOffset>64770</wp:posOffset>
                </wp:positionV>
                <wp:extent cx="1383665" cy="0"/>
                <wp:effectExtent l="7620" t="6350" r="889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5504" id="Straight Arrow Connector 2" o:spid="_x0000_s1026" type="#_x0000_t32" style="position:absolute;margin-left:181.05pt;margin-top:5.1pt;width:10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"/>
            </w:pict>
          </mc:Fallback>
        </mc:AlternateContent>
      </w:r>
    </w:p>
    <w:p w:rsidR="0047704D" w:rsidRPr="00BA324E" w:rsidRDefault="0047704D" w:rsidP="0047704D">
      <w:pPr>
        <w:ind w:left="360"/>
        <w:jc w:val="both"/>
        <w:rPr>
          <w:rFonts w:ascii="Times New Roman" w:hAnsi="Times New Roman"/>
          <w:sz w:val="28"/>
          <w:szCs w:val="28"/>
          <w:lang w:val="vi-VN"/>
        </w:rPr>
      </w:pPr>
    </w:p>
    <w:p w:rsidR="0047704D" w:rsidRPr="00BA324E" w:rsidRDefault="0047704D" w:rsidP="0047704D">
      <w:pPr>
        <w:ind w:left="360" w:firstLine="349"/>
        <w:jc w:val="both"/>
        <w:rPr>
          <w:rFonts w:ascii="Times New Roman" w:hAnsi="Times New Roman"/>
          <w:b/>
          <w:lang w:val="vi-VN"/>
        </w:rPr>
      </w:pPr>
      <w:r w:rsidRPr="00BA324E">
        <w:rPr>
          <w:rFonts w:ascii="Times New Roman" w:hAnsi="Times New Roman"/>
          <w:b/>
          <w:lang w:val="vi-VN"/>
        </w:rPr>
        <w:t>I. LĨNH VỰC QUẢN LÝ ĐẤT ĐAI</w:t>
      </w:r>
    </w:p>
    <w:p w:rsidR="0047704D" w:rsidRPr="00BA324E" w:rsidRDefault="0047704D" w:rsidP="0047704D">
      <w:pPr>
        <w:widowControl w:val="0"/>
        <w:spacing w:before="120" w:line="360" w:lineRule="exact"/>
        <w:ind w:firstLine="709"/>
        <w:jc w:val="both"/>
        <w:rPr>
          <w:rFonts w:ascii="Times New Roman" w:hAnsi="Times New Roman"/>
          <w:sz w:val="28"/>
          <w:szCs w:val="28"/>
          <w:lang w:val="nb-NO"/>
        </w:rPr>
      </w:pPr>
      <w:r w:rsidRPr="00BA324E">
        <w:rPr>
          <w:rFonts w:ascii="Times New Roman" w:hAnsi="Times New Roman"/>
          <w:bCs/>
          <w:sz w:val="28"/>
          <w:szCs w:val="28"/>
          <w:lang w:val="nb-NO"/>
        </w:rPr>
        <w:t xml:space="preserve">1. </w:t>
      </w:r>
      <w:r w:rsidRPr="00BA324E">
        <w:rPr>
          <w:rFonts w:ascii="Times New Roman" w:hAnsi="Times New Roman"/>
          <w:sz w:val="28"/>
          <w:szCs w:val="28"/>
          <w:lang w:val="nb-NO"/>
        </w:rPr>
        <w:t>Bộ Luật Dân sự năm 2015.</w:t>
      </w:r>
    </w:p>
    <w:p w:rsidR="0047704D" w:rsidRPr="00BA324E" w:rsidRDefault="0047704D" w:rsidP="0047704D">
      <w:pPr>
        <w:widowControl w:val="0"/>
        <w:spacing w:before="120" w:line="360" w:lineRule="exact"/>
        <w:ind w:firstLine="709"/>
        <w:jc w:val="both"/>
        <w:rPr>
          <w:rFonts w:ascii="Times New Roman" w:hAnsi="Times New Roman"/>
          <w:sz w:val="28"/>
          <w:szCs w:val="28"/>
          <w:lang w:val="nb-NO"/>
        </w:rPr>
      </w:pPr>
      <w:r w:rsidRPr="00BA324E">
        <w:rPr>
          <w:rFonts w:ascii="Times New Roman" w:hAnsi="Times New Roman"/>
          <w:sz w:val="28"/>
          <w:szCs w:val="28"/>
          <w:lang w:val="nb-NO"/>
        </w:rPr>
        <w:t>2. Luật Đất đai năm 2013.</w:t>
      </w:r>
    </w:p>
    <w:p w:rsidR="0047704D" w:rsidRPr="00BA324E" w:rsidRDefault="0047704D" w:rsidP="0047704D">
      <w:pPr>
        <w:widowControl w:val="0"/>
        <w:spacing w:before="120" w:line="360" w:lineRule="exact"/>
        <w:ind w:firstLine="709"/>
        <w:jc w:val="both"/>
        <w:rPr>
          <w:rFonts w:ascii="Times New Roman" w:hAnsi="Times New Roman"/>
          <w:sz w:val="28"/>
          <w:szCs w:val="28"/>
          <w:lang w:val="nb-NO"/>
        </w:rPr>
      </w:pPr>
      <w:r w:rsidRPr="00BA324E">
        <w:rPr>
          <w:rFonts w:ascii="Times New Roman" w:hAnsi="Times New Roman"/>
          <w:sz w:val="28"/>
          <w:szCs w:val="28"/>
          <w:lang w:val="nb-NO"/>
        </w:rPr>
        <w:t>3. Luật Khiếu nại năm 2011.</w:t>
      </w:r>
    </w:p>
    <w:p w:rsidR="0047704D" w:rsidRPr="00BA324E" w:rsidRDefault="0047704D" w:rsidP="0047704D">
      <w:pPr>
        <w:widowControl w:val="0"/>
        <w:spacing w:before="120" w:line="360" w:lineRule="exact"/>
        <w:ind w:firstLine="709"/>
        <w:jc w:val="both"/>
        <w:rPr>
          <w:rFonts w:ascii="Times New Roman" w:hAnsi="Times New Roman"/>
          <w:sz w:val="28"/>
          <w:szCs w:val="28"/>
          <w:lang w:val="nb-NO"/>
        </w:rPr>
      </w:pPr>
      <w:r w:rsidRPr="00BA324E">
        <w:rPr>
          <w:rFonts w:ascii="Times New Roman" w:hAnsi="Times New Roman"/>
          <w:sz w:val="28"/>
          <w:szCs w:val="28"/>
          <w:lang w:val="nb-NO"/>
        </w:rPr>
        <w:t>4. Luật Tố cáo năm 2018.</w:t>
      </w:r>
    </w:p>
    <w:p w:rsidR="0047704D" w:rsidRPr="00BA324E" w:rsidRDefault="0047704D" w:rsidP="0047704D">
      <w:pPr>
        <w:spacing w:before="120" w:after="120" w:line="360" w:lineRule="exact"/>
        <w:ind w:firstLine="709"/>
        <w:jc w:val="both"/>
        <w:rPr>
          <w:rFonts w:ascii="Times New Roman" w:hAnsi="Times New Roman"/>
          <w:bCs/>
          <w:sz w:val="28"/>
          <w:szCs w:val="28"/>
          <w:lang w:val="fi-FI" w:eastAsia="en-GB"/>
        </w:rPr>
      </w:pPr>
      <w:r w:rsidRPr="00BA324E">
        <w:rPr>
          <w:rFonts w:ascii="Times New Roman" w:hAnsi="Times New Roman"/>
          <w:bCs/>
          <w:sz w:val="28"/>
          <w:szCs w:val="28"/>
          <w:lang w:val="fi-FI" w:eastAsia="en-GB"/>
        </w:rPr>
        <w:t>5. Nghị định số 43/2014/NĐ-CP ngày 15/5/2014 của Chính phủ quy định chi tiết thi hành một số điều của Luật đất đai.</w:t>
      </w:r>
    </w:p>
    <w:p w:rsidR="0047704D" w:rsidRPr="00BA324E" w:rsidRDefault="0047704D" w:rsidP="0047704D">
      <w:pPr>
        <w:spacing w:before="120" w:after="120" w:line="360" w:lineRule="exact"/>
        <w:ind w:firstLine="709"/>
        <w:jc w:val="both"/>
        <w:rPr>
          <w:rFonts w:ascii="Times New Roman" w:hAnsi="Times New Roman"/>
          <w:bCs/>
          <w:sz w:val="28"/>
          <w:szCs w:val="28"/>
          <w:lang w:val="fi-FI" w:eastAsia="en-GB"/>
        </w:rPr>
      </w:pPr>
      <w:r w:rsidRPr="00BA324E">
        <w:rPr>
          <w:rFonts w:ascii="Times New Roman" w:hAnsi="Times New Roman"/>
          <w:bCs/>
          <w:sz w:val="28"/>
          <w:szCs w:val="28"/>
          <w:lang w:val="fi-FI" w:eastAsia="en-GB"/>
        </w:rPr>
        <w:t>6. Nghị định số 44/2014/NĐ-CP ngày 15 tháng 5 năm 2014 của Chính phủ quy định về giá đất.</w:t>
      </w:r>
    </w:p>
    <w:p w:rsidR="0047704D" w:rsidRPr="00BA324E" w:rsidRDefault="0047704D" w:rsidP="0047704D">
      <w:pPr>
        <w:spacing w:before="120" w:after="120" w:line="360" w:lineRule="exact"/>
        <w:ind w:firstLine="709"/>
        <w:jc w:val="both"/>
        <w:rPr>
          <w:rFonts w:ascii="Times New Roman" w:hAnsi="Times New Roman"/>
          <w:bCs/>
          <w:sz w:val="28"/>
          <w:szCs w:val="28"/>
          <w:lang w:val="fi-FI" w:eastAsia="en-GB"/>
        </w:rPr>
      </w:pPr>
      <w:r w:rsidRPr="00BA324E">
        <w:rPr>
          <w:rFonts w:ascii="Times New Roman" w:hAnsi="Times New Roman"/>
          <w:bCs/>
          <w:sz w:val="28"/>
          <w:szCs w:val="28"/>
          <w:lang w:val="fi-FI" w:eastAsia="en-GB"/>
        </w:rPr>
        <w:t>7. Nghị định số 45/2014/NĐ-CP ngày 15 tháng 5 năm 2014 của Chính phủ quy định về thu tiền sử dụng đất.</w:t>
      </w:r>
    </w:p>
    <w:p w:rsidR="0047704D" w:rsidRPr="00BA324E" w:rsidRDefault="0047704D" w:rsidP="0047704D">
      <w:pPr>
        <w:spacing w:before="120" w:after="120" w:line="360" w:lineRule="exact"/>
        <w:ind w:firstLine="709"/>
        <w:jc w:val="both"/>
        <w:rPr>
          <w:rFonts w:ascii="Times New Roman" w:hAnsi="Times New Roman"/>
          <w:bCs/>
          <w:sz w:val="28"/>
          <w:szCs w:val="28"/>
          <w:lang w:val="fi-FI" w:eastAsia="en-GB"/>
        </w:rPr>
      </w:pPr>
      <w:r w:rsidRPr="00BA324E">
        <w:rPr>
          <w:rFonts w:ascii="Times New Roman" w:hAnsi="Times New Roman"/>
          <w:bCs/>
          <w:sz w:val="28"/>
          <w:szCs w:val="28"/>
          <w:lang w:val="fi-FI" w:eastAsia="en-GB"/>
        </w:rPr>
        <w:t>8. Nghị định số 46/2014/NĐ-CP ngày 15 tháng 5 năm 2014 của Chính phủ quy định về thu tiền thuê đất, thuê mặt nước.</w:t>
      </w:r>
    </w:p>
    <w:p w:rsidR="0047704D" w:rsidRPr="00BA324E" w:rsidRDefault="0047704D" w:rsidP="0047704D">
      <w:pPr>
        <w:widowControl w:val="0"/>
        <w:spacing w:before="120" w:line="360" w:lineRule="exact"/>
        <w:ind w:firstLine="709"/>
        <w:jc w:val="both"/>
        <w:rPr>
          <w:rFonts w:ascii="Times New Roman" w:hAnsi="Times New Roman"/>
          <w:sz w:val="28"/>
          <w:szCs w:val="28"/>
          <w:lang w:val="fi-FI"/>
        </w:rPr>
      </w:pPr>
      <w:r w:rsidRPr="00BA324E">
        <w:rPr>
          <w:rFonts w:ascii="Times New Roman" w:hAnsi="Times New Roman"/>
          <w:sz w:val="28"/>
          <w:szCs w:val="28"/>
          <w:lang w:val="fi-FI"/>
        </w:rPr>
        <w:t>9. Nghị định số 47/2014/NĐ-CP ngày 15/5/2014 của Chính phủ quy định về bồi thường, hỗ trợ, tái định cư khi Nhà nước thu hồi đất.</w:t>
      </w:r>
    </w:p>
    <w:p w:rsidR="0047704D" w:rsidRPr="00BA324E" w:rsidRDefault="0047704D" w:rsidP="0047704D">
      <w:pPr>
        <w:widowControl w:val="0"/>
        <w:spacing w:before="120" w:line="360" w:lineRule="exact"/>
        <w:ind w:firstLine="709"/>
        <w:jc w:val="both"/>
        <w:rPr>
          <w:rFonts w:ascii="Times New Roman" w:hAnsi="Times New Roman"/>
          <w:sz w:val="28"/>
          <w:szCs w:val="28"/>
          <w:lang w:val="fi-FI"/>
        </w:rPr>
      </w:pPr>
      <w:r w:rsidRPr="00BA324E">
        <w:rPr>
          <w:rFonts w:ascii="Times New Roman" w:hAnsi="Times New Roman"/>
          <w:sz w:val="28"/>
          <w:szCs w:val="28"/>
          <w:lang w:val="fi-FI"/>
        </w:rPr>
        <w:t>10. Nghị định số 01/2017/NĐ-CP ngày 06/01/2017 của Chính phủ sửa đổi, bổ sung một số Nghị định quy định chi tiết thi hành Luật đất đai;</w:t>
      </w:r>
    </w:p>
    <w:p w:rsidR="0047704D" w:rsidRPr="00BA324E" w:rsidRDefault="0047704D" w:rsidP="0047704D">
      <w:pPr>
        <w:widowControl w:val="0"/>
        <w:spacing w:before="120" w:line="360" w:lineRule="exact"/>
        <w:ind w:firstLine="709"/>
        <w:jc w:val="both"/>
        <w:rPr>
          <w:rFonts w:ascii="Times New Roman" w:hAnsi="Times New Roman"/>
          <w:sz w:val="28"/>
          <w:szCs w:val="28"/>
          <w:lang w:val="fi-FI"/>
        </w:rPr>
      </w:pPr>
      <w:r w:rsidRPr="00BA324E">
        <w:rPr>
          <w:rFonts w:ascii="Times New Roman" w:hAnsi="Times New Roman"/>
          <w:sz w:val="28"/>
          <w:szCs w:val="28"/>
          <w:lang w:val="fi-FI"/>
        </w:rPr>
        <w:t>11. Nghị định số 91/2019/NĐ-CP ngày 19/11/2019 của Chính phủ về xử phạt vi phạm hành chính trong lĩnh vực đất đai.</w:t>
      </w:r>
    </w:p>
    <w:p w:rsidR="0047704D" w:rsidRPr="00BA324E" w:rsidRDefault="0047704D" w:rsidP="0047704D">
      <w:pPr>
        <w:widowControl w:val="0"/>
        <w:spacing w:before="120" w:line="360" w:lineRule="exact"/>
        <w:ind w:firstLine="709"/>
        <w:jc w:val="both"/>
        <w:rPr>
          <w:rFonts w:ascii="Times New Roman" w:hAnsi="Times New Roman"/>
          <w:spacing w:val="-6"/>
          <w:sz w:val="28"/>
          <w:szCs w:val="28"/>
          <w:lang w:val="fi-FI"/>
        </w:rPr>
      </w:pPr>
      <w:r w:rsidRPr="00BA324E">
        <w:rPr>
          <w:rFonts w:ascii="Times New Roman" w:hAnsi="Times New Roman"/>
          <w:spacing w:val="-6"/>
          <w:sz w:val="28"/>
          <w:szCs w:val="28"/>
          <w:lang w:val="fi-FI"/>
        </w:rPr>
        <w:t xml:space="preserve">12. Thông tư số 37/2014/TT-BTNMT ngày 30/6/2014 của Bộ Tài nguyên và </w:t>
      </w:r>
      <w:r w:rsidRPr="00BA324E">
        <w:rPr>
          <w:rFonts w:ascii="Times New Roman" w:hAnsi="Times New Roman"/>
          <w:sz w:val="28"/>
          <w:szCs w:val="28"/>
          <w:lang w:val="fi-FI"/>
        </w:rPr>
        <w:t>Môi trường quy định chi tiết về bồi thường, hỗ trợ, tái định cư khi Nhà nước thu hồi đất.</w:t>
      </w:r>
    </w:p>
    <w:p w:rsidR="0047704D" w:rsidRPr="00BA324E" w:rsidRDefault="0047704D" w:rsidP="0047704D">
      <w:pPr>
        <w:spacing w:before="120" w:after="60" w:line="360" w:lineRule="exact"/>
        <w:ind w:firstLine="720"/>
        <w:jc w:val="both"/>
        <w:rPr>
          <w:rFonts w:ascii="Times New Roman" w:hAnsi="Times New Roman"/>
          <w:sz w:val="28"/>
          <w:szCs w:val="28"/>
          <w:lang w:val="nl-NL"/>
        </w:rPr>
      </w:pPr>
      <w:r w:rsidRPr="00BA324E">
        <w:rPr>
          <w:rFonts w:ascii="Times New Roman" w:hAnsi="Times New Roman"/>
          <w:bCs/>
          <w:sz w:val="28"/>
          <w:szCs w:val="28"/>
          <w:lang w:val="nl-NL"/>
        </w:rPr>
        <w:t>13. Thông tư số 33/2017/TT-BTNMT ngày 29/9/2017 của Bộ Tài nguyên và Môi trường quy định chi tiết Nghị định số 01/2017/NĐ-CP ngày 06/01/2017 của Chính phủ</w:t>
      </w:r>
      <w:r w:rsidRPr="00BA324E">
        <w:rPr>
          <w:rFonts w:ascii="Times New Roman" w:hAnsi="Times New Roman"/>
          <w:sz w:val="28"/>
          <w:szCs w:val="28"/>
          <w:lang w:val="nl-NL"/>
        </w:rPr>
        <w:t xml:space="preserve"> sửa, đổi bổ sung một số nghị định quy định chi tiết thi hành Luật Đất đai và sửa đổi, bổ sung một số điều của các thông tư hướng dẫn thi hành Luật đất đai.</w:t>
      </w:r>
    </w:p>
    <w:p w:rsidR="0047704D" w:rsidRPr="00BA324E" w:rsidRDefault="0047704D" w:rsidP="0047704D">
      <w:pPr>
        <w:spacing w:before="120" w:after="60" w:line="360" w:lineRule="exact"/>
        <w:ind w:firstLine="720"/>
        <w:jc w:val="both"/>
        <w:rPr>
          <w:rFonts w:ascii="Times New Roman" w:hAnsi="Times New Roman"/>
          <w:sz w:val="28"/>
          <w:szCs w:val="28"/>
          <w:lang w:val="nl-NL"/>
        </w:rPr>
      </w:pPr>
      <w:r w:rsidRPr="00BA324E">
        <w:rPr>
          <w:rFonts w:ascii="Times New Roman" w:hAnsi="Times New Roman"/>
          <w:sz w:val="28"/>
          <w:szCs w:val="28"/>
          <w:lang w:val="fi-FI"/>
        </w:rPr>
        <w:t xml:space="preserve">14. Thông tư số 25/2014/TT-BTNMT ngày 19/5/2014 của Bộ Tài nguyên và Môi trường </w:t>
      </w:r>
      <w:r w:rsidRPr="00BA324E">
        <w:rPr>
          <w:rFonts w:ascii="Times New Roman" w:hAnsi="Times New Roman"/>
          <w:sz w:val="28"/>
          <w:szCs w:val="28"/>
          <w:lang w:val="nl-NL"/>
        </w:rPr>
        <w:t>quy định về Giấy chứng nhận quyền sử dụng đất, quyền sở hữu nhà ở và tài sản khác gắn liền với đất</w:t>
      </w:r>
      <w:r w:rsidRPr="00BA324E">
        <w:rPr>
          <w:rFonts w:ascii="Times New Roman" w:hAnsi="Times New Roman"/>
          <w:sz w:val="28"/>
          <w:szCs w:val="28"/>
          <w:lang w:val="fi-FI"/>
        </w:rPr>
        <w:t>.</w:t>
      </w:r>
    </w:p>
    <w:p w:rsidR="0047704D" w:rsidRPr="00BA324E" w:rsidRDefault="0047704D" w:rsidP="0047704D">
      <w:pPr>
        <w:spacing w:before="120" w:line="360" w:lineRule="exact"/>
        <w:ind w:firstLine="709"/>
        <w:jc w:val="both"/>
        <w:rPr>
          <w:rFonts w:ascii="Times New Roman" w:hAnsi="Times New Roman"/>
          <w:sz w:val="28"/>
          <w:szCs w:val="28"/>
          <w:lang w:val="fi-FI"/>
        </w:rPr>
      </w:pPr>
      <w:r w:rsidRPr="00BA324E">
        <w:rPr>
          <w:rFonts w:ascii="Times New Roman" w:hAnsi="Times New Roman"/>
          <w:sz w:val="28"/>
          <w:szCs w:val="28"/>
          <w:lang w:val="fi-FI"/>
        </w:rPr>
        <w:lastRenderedPageBreak/>
        <w:t>15. Thông tư số 30/2014/TT-BTNMT ngày 02/6/2014 của Bộ Tài nguyên và Môi trường quy định về hồ sơ giao đất, cho thuê đất, cho phép chuyển mục đích sử dụng đất, thu hồi đất.</w:t>
      </w:r>
    </w:p>
    <w:p w:rsidR="0047704D" w:rsidRPr="00BA324E" w:rsidRDefault="0047704D" w:rsidP="0047704D">
      <w:pPr>
        <w:widowControl w:val="0"/>
        <w:spacing w:before="120" w:line="360" w:lineRule="exact"/>
        <w:ind w:firstLine="709"/>
        <w:jc w:val="both"/>
        <w:rPr>
          <w:rFonts w:ascii="Times New Roman" w:hAnsi="Times New Roman"/>
          <w:bCs/>
          <w:sz w:val="28"/>
          <w:szCs w:val="28"/>
          <w:lang w:val="nl-NL"/>
        </w:rPr>
      </w:pPr>
      <w:r w:rsidRPr="00BA324E">
        <w:rPr>
          <w:rFonts w:ascii="Times New Roman" w:hAnsi="Times New Roman"/>
          <w:sz w:val="28"/>
          <w:szCs w:val="28"/>
          <w:lang w:val="nl-NL"/>
        </w:rPr>
        <w:t xml:space="preserve">16. Quyết định số 05/2015/QĐ-UBND ngày 16/4/2015 của UBND tỉnh Tuyên Quang Ban hành Quy định về trình tự, thủ tục thực hiện bồi thường hỗ trợ tái định cư khi Nhà nước thu hồi đất vì mục đích quốc phòng, an ninh; phát </w:t>
      </w:r>
      <w:r w:rsidRPr="00BA324E">
        <w:rPr>
          <w:rFonts w:ascii="Times New Roman" w:hAnsi="Times New Roman"/>
          <w:spacing w:val="-4"/>
          <w:sz w:val="28"/>
          <w:szCs w:val="28"/>
          <w:lang w:val="nl-NL"/>
        </w:rPr>
        <w:t>triển kinh tế - xã hội vì lợi ích quốc gia, công cộng trên địa bàn tỉnh Tuyên Quang.</w:t>
      </w:r>
    </w:p>
    <w:p w:rsidR="0047704D" w:rsidRPr="00BA324E" w:rsidRDefault="0047704D" w:rsidP="0047704D">
      <w:pPr>
        <w:spacing w:before="120" w:line="360" w:lineRule="exact"/>
        <w:ind w:firstLine="709"/>
        <w:jc w:val="both"/>
        <w:rPr>
          <w:rFonts w:ascii="Times New Roman" w:hAnsi="Times New Roman"/>
          <w:spacing w:val="-2"/>
          <w:sz w:val="28"/>
          <w:szCs w:val="28"/>
          <w:lang w:val="nl-NL"/>
        </w:rPr>
      </w:pPr>
      <w:r w:rsidRPr="00BA324E">
        <w:rPr>
          <w:rFonts w:ascii="Times New Roman" w:hAnsi="Times New Roman"/>
          <w:spacing w:val="-2"/>
          <w:sz w:val="28"/>
          <w:szCs w:val="28"/>
          <w:lang w:val="nl-NL"/>
        </w:rPr>
        <w:t xml:space="preserve">17. Quyết định số 06/2015/QĐ-UBND ngày 16/4/2015 của UBND tỉnh Ban hành Quy định về bồi thường, hỗ trợ và tái định cư thuộc thẩm quyền của Ủy ban nhân dân tỉnh khi Nhà nước thu hồi đất vì mục đích quốc phòng, an ninh; </w:t>
      </w:r>
      <w:r w:rsidRPr="00BA324E">
        <w:rPr>
          <w:rFonts w:ascii="Times New Roman" w:hAnsi="Times New Roman"/>
          <w:spacing w:val="4"/>
          <w:sz w:val="28"/>
          <w:szCs w:val="28"/>
          <w:lang w:val="nl-NL"/>
        </w:rPr>
        <w:t>phát triển kinh tế - xã hội vì lợi ích quốc gia, công cộng trên địa bàn tỉnh Tuyên Quang.</w:t>
      </w:r>
    </w:p>
    <w:p w:rsidR="0047704D" w:rsidRPr="00BA324E" w:rsidRDefault="0047704D" w:rsidP="0047704D">
      <w:pPr>
        <w:spacing w:before="120" w:line="360" w:lineRule="exact"/>
        <w:ind w:firstLine="709"/>
        <w:jc w:val="both"/>
        <w:rPr>
          <w:rFonts w:ascii="Times New Roman" w:hAnsi="Times New Roman"/>
          <w:sz w:val="28"/>
          <w:szCs w:val="28"/>
          <w:lang w:val="nl-NL"/>
        </w:rPr>
      </w:pPr>
      <w:r w:rsidRPr="00BA324E">
        <w:rPr>
          <w:rFonts w:ascii="Times New Roman" w:hAnsi="Times New Roman"/>
          <w:sz w:val="28"/>
          <w:szCs w:val="28"/>
          <w:lang w:val="nl-NL"/>
        </w:rPr>
        <w:t>18. Quyết định số 02/2018/QĐ-UBND ngày 19/3/2018 của UBND tỉnh Tuyên Quang Ban hành Quy định về trách nhiệm của các cấp, các ngành trong quản lý đất đai, khoáng sản trên địa bàn tỉnh Tuyên Quang.</w:t>
      </w:r>
    </w:p>
    <w:p w:rsidR="0047704D" w:rsidRPr="00BA324E" w:rsidRDefault="0047704D" w:rsidP="0047704D">
      <w:pPr>
        <w:spacing w:before="120" w:line="360" w:lineRule="exact"/>
        <w:ind w:firstLine="709"/>
        <w:jc w:val="both"/>
        <w:rPr>
          <w:rFonts w:ascii="Times New Roman" w:hAnsi="Times New Roman"/>
          <w:spacing w:val="-2"/>
          <w:sz w:val="28"/>
          <w:szCs w:val="28"/>
          <w:lang w:val="nl-NL"/>
        </w:rPr>
      </w:pPr>
      <w:r w:rsidRPr="00BA324E">
        <w:rPr>
          <w:rFonts w:ascii="Times New Roman" w:hAnsi="Times New Roman"/>
          <w:spacing w:val="-2"/>
          <w:sz w:val="28"/>
          <w:szCs w:val="28"/>
          <w:lang w:val="nl-NL"/>
        </w:rPr>
        <w:t xml:space="preserve">19. Quyết định số 16/2014/QĐ-UBND ngày 13/10/2014 của UBND tỉnh Tuyên Quang Ban hành Quy định hạn mức giao đất ở và diện tích tối thiểu được tách thửa đối với đất ở; hạn mức giao đất trống, đồi núi trọc, đất có mặt nước </w:t>
      </w:r>
      <w:r w:rsidRPr="00BA324E">
        <w:rPr>
          <w:rFonts w:ascii="Times New Roman" w:hAnsi="Times New Roman"/>
          <w:spacing w:val="4"/>
          <w:sz w:val="28"/>
          <w:szCs w:val="28"/>
          <w:lang w:val="nl-NL"/>
        </w:rPr>
        <w:t>thuộc nhóm đất chưa sử dụng cho hộ gia đình, cá nhân trên địa bàn tỉnh Tuyên Quang.</w:t>
      </w:r>
    </w:p>
    <w:p w:rsidR="0047704D" w:rsidRPr="00BA324E" w:rsidRDefault="0047704D" w:rsidP="0047704D">
      <w:pPr>
        <w:spacing w:before="120" w:line="360" w:lineRule="exact"/>
        <w:ind w:firstLine="709"/>
        <w:jc w:val="both"/>
        <w:rPr>
          <w:rFonts w:ascii="Times New Roman" w:hAnsi="Times New Roman"/>
          <w:spacing w:val="-2"/>
          <w:sz w:val="28"/>
          <w:szCs w:val="28"/>
          <w:lang w:val="nl-NL"/>
        </w:rPr>
      </w:pPr>
      <w:r w:rsidRPr="00BA324E">
        <w:rPr>
          <w:rFonts w:ascii="Times New Roman" w:hAnsi="Times New Roman"/>
          <w:spacing w:val="-2"/>
          <w:sz w:val="28"/>
          <w:szCs w:val="28"/>
          <w:lang w:val="nl-NL"/>
        </w:rPr>
        <w:t>20. Quyết định số 20/2014/QĐ-UBND ngày 22/10/2014 của UBND tỉnh Tuyên Quang Ban hành Quy định hạn mức công nhận đất ở đối với trường hợp: thửa đất ở có vườn, ao được hình thành từ ngày 18 tháng 12 năm 1980 đến trước ngày 01 tháng 7 năm 2004 mà giấy tờ quyền sử dụng đất không ghi rõ diện tích đất ở; đất chuyển từ xã về phường, thị trấn do điều chỉnh địa giới hành chính mà người sử dụng đất không có giấy tờ về quyền sử dụng đất.</w:t>
      </w:r>
    </w:p>
    <w:p w:rsidR="0047704D" w:rsidRPr="00BA324E" w:rsidRDefault="0047704D" w:rsidP="0047704D">
      <w:pPr>
        <w:spacing w:before="120" w:line="360" w:lineRule="exact"/>
        <w:ind w:firstLine="709"/>
        <w:jc w:val="both"/>
        <w:rPr>
          <w:rFonts w:ascii="Times New Roman" w:hAnsi="Times New Roman"/>
          <w:b/>
          <w:spacing w:val="-2"/>
          <w:lang w:val="nl-NL"/>
        </w:rPr>
      </w:pPr>
      <w:r w:rsidRPr="00BA324E">
        <w:rPr>
          <w:rFonts w:ascii="Times New Roman" w:hAnsi="Times New Roman"/>
          <w:sz w:val="28"/>
          <w:szCs w:val="28"/>
          <w:lang w:val="fi-FI"/>
        </w:rPr>
        <w:t xml:space="preserve"> </w:t>
      </w:r>
      <w:r w:rsidRPr="00BA324E">
        <w:rPr>
          <w:rFonts w:ascii="Times New Roman" w:hAnsi="Times New Roman"/>
          <w:b/>
          <w:spacing w:val="-2"/>
          <w:lang w:val="nl-NL"/>
        </w:rPr>
        <w:t>II. LĨNH VỰC QUẢN LÝ MÔI TRƯỜNG</w:t>
      </w:r>
    </w:p>
    <w:p w:rsidR="0047704D" w:rsidRPr="00BA324E" w:rsidRDefault="0047704D" w:rsidP="0047704D">
      <w:pPr>
        <w:spacing w:before="120" w:line="360" w:lineRule="exact"/>
        <w:ind w:firstLine="709"/>
        <w:jc w:val="both"/>
        <w:rPr>
          <w:rFonts w:ascii="Times New Roman" w:hAnsi="Times New Roman"/>
          <w:spacing w:val="-2"/>
          <w:sz w:val="28"/>
          <w:szCs w:val="28"/>
          <w:lang w:val="nl-NL"/>
        </w:rPr>
      </w:pPr>
      <w:r w:rsidRPr="00BA324E">
        <w:rPr>
          <w:rFonts w:ascii="Times New Roman" w:hAnsi="Times New Roman"/>
          <w:spacing w:val="-2"/>
          <w:sz w:val="28"/>
          <w:szCs w:val="28"/>
          <w:lang w:val="nl-NL"/>
        </w:rPr>
        <w:t>Luật bảo vệ môi trường năm 2014.</w:t>
      </w:r>
    </w:p>
    <w:p w:rsidR="0047704D" w:rsidRPr="00BA324E" w:rsidRDefault="0047704D" w:rsidP="0047704D">
      <w:pPr>
        <w:spacing w:before="120" w:line="360" w:lineRule="exact"/>
        <w:ind w:firstLine="709"/>
        <w:jc w:val="both"/>
        <w:rPr>
          <w:rFonts w:ascii="Times New Roman" w:hAnsi="Times New Roman"/>
          <w:spacing w:val="-2"/>
          <w:sz w:val="28"/>
          <w:szCs w:val="28"/>
          <w:lang w:val="nl-NL"/>
        </w:rPr>
      </w:pPr>
      <w:r w:rsidRPr="00BA324E">
        <w:rPr>
          <w:rFonts w:ascii="Times New Roman" w:hAnsi="Times New Roman"/>
          <w:spacing w:val="-2"/>
          <w:sz w:val="28"/>
          <w:szCs w:val="28"/>
          <w:lang w:val="nl-NL"/>
        </w:rPr>
        <w:t>2. Nghị định 19/2015/NĐ-CP ngày 14/02/2015 quy định chi tiết thi hành một số điều của Luật Bảo vệ môi trường.</w:t>
      </w:r>
    </w:p>
    <w:p w:rsidR="0047704D" w:rsidRPr="00BA324E" w:rsidRDefault="0047704D" w:rsidP="0047704D">
      <w:pPr>
        <w:spacing w:before="120" w:line="360" w:lineRule="exact"/>
        <w:ind w:firstLine="709"/>
        <w:jc w:val="both"/>
        <w:rPr>
          <w:rFonts w:ascii="Times New Roman" w:hAnsi="Times New Roman"/>
          <w:spacing w:val="-2"/>
          <w:sz w:val="28"/>
          <w:szCs w:val="28"/>
          <w:lang w:val="nl-NL"/>
        </w:rPr>
      </w:pPr>
      <w:r w:rsidRPr="00BA324E">
        <w:rPr>
          <w:rFonts w:ascii="Times New Roman" w:hAnsi="Times New Roman"/>
          <w:spacing w:val="-2"/>
          <w:sz w:val="28"/>
          <w:szCs w:val="28"/>
          <w:lang w:val="nl-NL"/>
        </w:rPr>
        <w:t>3. Nghị định 18/2015/NĐ-CP ngày 14/02/2015 của Chính phủ Quy định về quy hoạch bảo vệ môi trường, đánh giá môi trường chiến lược, đánh giá tác động môi trường và kế hoạch bảo vệ môi trường.</w:t>
      </w:r>
    </w:p>
    <w:p w:rsidR="0047704D" w:rsidRPr="00BA324E" w:rsidRDefault="0047704D" w:rsidP="0047704D">
      <w:pPr>
        <w:spacing w:before="120" w:line="360" w:lineRule="exact"/>
        <w:ind w:firstLine="709"/>
        <w:jc w:val="both"/>
        <w:rPr>
          <w:rFonts w:ascii="Times New Roman" w:hAnsi="Times New Roman"/>
          <w:spacing w:val="-2"/>
          <w:sz w:val="28"/>
          <w:szCs w:val="28"/>
          <w:lang w:val="nl-NL"/>
        </w:rPr>
      </w:pPr>
      <w:r w:rsidRPr="00BA324E">
        <w:rPr>
          <w:rFonts w:ascii="Times New Roman" w:hAnsi="Times New Roman"/>
          <w:spacing w:val="-2"/>
          <w:sz w:val="28"/>
          <w:szCs w:val="28"/>
          <w:lang w:val="nl-NL"/>
        </w:rPr>
        <w:t>4. Nghị định số 38/2015/NĐ-CP ngày 24/4/2015 của Chính phủ Quy định về quản lý chất thải và phế liệu.</w:t>
      </w:r>
    </w:p>
    <w:p w:rsidR="0047704D" w:rsidRPr="00BA324E" w:rsidRDefault="0047704D" w:rsidP="0047704D">
      <w:pPr>
        <w:spacing w:before="120" w:line="360" w:lineRule="exact"/>
        <w:ind w:firstLine="709"/>
        <w:jc w:val="both"/>
        <w:rPr>
          <w:rFonts w:ascii="Times New Roman" w:hAnsi="Times New Roman"/>
          <w:spacing w:val="-2"/>
          <w:sz w:val="28"/>
          <w:szCs w:val="28"/>
          <w:lang w:val="nl-NL"/>
        </w:rPr>
      </w:pPr>
      <w:r w:rsidRPr="00BA324E">
        <w:rPr>
          <w:rFonts w:ascii="Times New Roman" w:hAnsi="Times New Roman"/>
          <w:spacing w:val="-2"/>
          <w:sz w:val="28"/>
          <w:szCs w:val="28"/>
          <w:lang w:val="nl-NL"/>
        </w:rPr>
        <w:t xml:space="preserve">5. Nghị định số 40/2019/NĐ-CP ngày 13/5/2019 của Chính phủ sửa đổi bổ sung một số điều của các Nghị định Quy định, hướng dẫn một số điều của Luật bảo vệ môi trường. </w:t>
      </w:r>
    </w:p>
    <w:p w:rsidR="0047704D" w:rsidRPr="00BA324E" w:rsidRDefault="0047704D" w:rsidP="0047704D">
      <w:pPr>
        <w:spacing w:before="120" w:line="360" w:lineRule="exact"/>
        <w:ind w:firstLine="709"/>
        <w:jc w:val="both"/>
        <w:rPr>
          <w:rFonts w:ascii="Times New Roman" w:hAnsi="Times New Roman"/>
          <w:spacing w:val="-2"/>
          <w:sz w:val="28"/>
          <w:szCs w:val="28"/>
          <w:lang w:val="nl-NL"/>
        </w:rPr>
      </w:pPr>
      <w:r w:rsidRPr="00BA324E">
        <w:rPr>
          <w:rFonts w:ascii="Times New Roman" w:hAnsi="Times New Roman"/>
          <w:spacing w:val="-2"/>
          <w:sz w:val="28"/>
          <w:szCs w:val="28"/>
          <w:lang w:val="nl-NL"/>
        </w:rPr>
        <w:t>6. Nghị định số 155/2016/NĐ-CP ngày 18/11/2016 Quy định về xử phạt vi phạm hành chính trong lĩnh vực bảo vệ môi trường.</w:t>
      </w:r>
    </w:p>
    <w:p w:rsidR="0047704D" w:rsidRPr="00BA324E" w:rsidRDefault="0047704D" w:rsidP="0047704D">
      <w:pPr>
        <w:spacing w:before="120" w:line="360" w:lineRule="exact"/>
        <w:ind w:firstLine="709"/>
        <w:jc w:val="both"/>
        <w:rPr>
          <w:rFonts w:ascii="Times New Roman" w:hAnsi="Times New Roman"/>
          <w:spacing w:val="-2"/>
          <w:sz w:val="28"/>
          <w:szCs w:val="28"/>
          <w:lang w:val="nl-NL"/>
        </w:rPr>
      </w:pPr>
      <w:r w:rsidRPr="00BA324E">
        <w:rPr>
          <w:rFonts w:ascii="Times New Roman" w:hAnsi="Times New Roman"/>
          <w:spacing w:val="-2"/>
          <w:sz w:val="28"/>
          <w:szCs w:val="28"/>
          <w:lang w:val="nl-NL"/>
        </w:rPr>
        <w:lastRenderedPageBreak/>
        <w:t>7. Thông tư số 25/2019/TT-BTNMT ngày 31/12/2019 của Bộ Tài nguyên và Môi trường quy định chi tiết thi hành một số điều của Nghị định số 40/2019/NĐ-CP ngày 13/5/2019 của Chính phủ sửa đổi bổ sung một số điều của các nghị định quy định, hướng dẫn một số điều của Luật bảo vệ môi trường.</w:t>
      </w:r>
    </w:p>
    <w:p w:rsidR="0047704D" w:rsidRPr="00BA324E" w:rsidRDefault="0047704D" w:rsidP="0047704D">
      <w:pPr>
        <w:spacing w:before="120" w:line="360" w:lineRule="exact"/>
        <w:ind w:firstLine="709"/>
        <w:jc w:val="both"/>
        <w:rPr>
          <w:rFonts w:ascii="Times New Roman" w:hAnsi="Times New Roman"/>
          <w:spacing w:val="-2"/>
          <w:sz w:val="28"/>
          <w:szCs w:val="28"/>
          <w:lang w:val="nl-NL"/>
        </w:rPr>
      </w:pPr>
      <w:r w:rsidRPr="00BA324E">
        <w:rPr>
          <w:rFonts w:ascii="Times New Roman" w:hAnsi="Times New Roman"/>
          <w:spacing w:val="-2"/>
          <w:sz w:val="28"/>
          <w:szCs w:val="28"/>
          <w:lang w:val="nl-NL"/>
        </w:rPr>
        <w:t>8. Thông tư liên tịch số 05/2016/TTLT - BNNPTNT - BTNMT ngày 16/5/2016  của liên Bộ Nông nghiệp phát triển Nông thôn và Bộ Tài nguyên và Môi trường hướng dẫn thu gom, vận chuyển và xử lý báo gói thuốc báo vệ thực vật sau sử dụng.</w:t>
      </w:r>
    </w:p>
    <w:p w:rsidR="0047704D" w:rsidRPr="00BA324E" w:rsidRDefault="0047704D" w:rsidP="0047704D">
      <w:pPr>
        <w:ind w:left="360" w:firstLine="349"/>
        <w:jc w:val="both"/>
        <w:rPr>
          <w:rFonts w:ascii="Times New Roman" w:hAnsi="Times New Roman"/>
          <w:b/>
          <w:lang w:val="vi-VN"/>
        </w:rPr>
      </w:pPr>
      <w:r w:rsidRPr="00BA324E">
        <w:rPr>
          <w:rFonts w:ascii="Times New Roman" w:hAnsi="Times New Roman"/>
          <w:b/>
          <w:lang w:val="vi-VN"/>
        </w:rPr>
        <w:t>III. LĨNH VỰC QUẢN LÝ KHOÁNG SẢN</w:t>
      </w:r>
    </w:p>
    <w:p w:rsidR="0047704D" w:rsidRPr="00BA324E" w:rsidRDefault="0047704D" w:rsidP="0047704D">
      <w:pPr>
        <w:spacing w:before="120"/>
        <w:ind w:firstLine="720"/>
        <w:jc w:val="both"/>
        <w:rPr>
          <w:rFonts w:ascii="Times New Roman" w:hAnsi="Times New Roman"/>
          <w:sz w:val="28"/>
          <w:szCs w:val="28"/>
          <w:lang w:val="vi-VN"/>
        </w:rPr>
      </w:pPr>
      <w:r w:rsidRPr="00BA324E">
        <w:rPr>
          <w:rFonts w:ascii="Times New Roman" w:hAnsi="Times New Roman"/>
          <w:sz w:val="28"/>
          <w:szCs w:val="28"/>
          <w:lang w:val="vi-VN"/>
        </w:rPr>
        <w:t>1. Luật Khoáng sản số 60/2010/QH12 ngày 17/11/2010.</w:t>
      </w:r>
    </w:p>
    <w:p w:rsidR="0047704D" w:rsidRPr="00BA324E" w:rsidRDefault="0047704D" w:rsidP="0047704D">
      <w:pPr>
        <w:spacing w:before="120"/>
        <w:ind w:firstLine="720"/>
        <w:jc w:val="both"/>
        <w:rPr>
          <w:rFonts w:ascii="Times New Roman" w:hAnsi="Times New Roman"/>
          <w:sz w:val="28"/>
          <w:szCs w:val="28"/>
          <w:lang w:val="vi-VN"/>
        </w:rPr>
      </w:pPr>
      <w:r w:rsidRPr="00BA324E">
        <w:rPr>
          <w:rFonts w:ascii="Times New Roman" w:hAnsi="Times New Roman"/>
          <w:sz w:val="28"/>
          <w:szCs w:val="28"/>
          <w:lang w:val="vi-VN"/>
        </w:rPr>
        <w:t>2. Nghị định số 158/2016/NĐ-CP ngày 29/11/2016 của Chính phủ quy định chi tiết thi hành một số điều của Luật Khoáng sản.</w:t>
      </w:r>
    </w:p>
    <w:p w:rsidR="0047704D" w:rsidRPr="00BA324E" w:rsidRDefault="0047704D" w:rsidP="0047704D">
      <w:pPr>
        <w:spacing w:before="120"/>
        <w:ind w:firstLine="720"/>
        <w:jc w:val="both"/>
        <w:rPr>
          <w:rFonts w:ascii="Times New Roman" w:hAnsi="Times New Roman"/>
          <w:sz w:val="28"/>
          <w:szCs w:val="28"/>
          <w:lang w:val="vi-VN"/>
        </w:rPr>
      </w:pPr>
      <w:r w:rsidRPr="00BA324E">
        <w:rPr>
          <w:rFonts w:ascii="Times New Roman" w:hAnsi="Times New Roman"/>
          <w:spacing w:val="-4"/>
          <w:sz w:val="28"/>
          <w:szCs w:val="28"/>
          <w:lang w:val="vi-VN"/>
        </w:rPr>
        <w:t xml:space="preserve">3. </w:t>
      </w:r>
      <w:r w:rsidRPr="00BA324E">
        <w:rPr>
          <w:rFonts w:ascii="Times New Roman" w:hAnsi="Times New Roman"/>
          <w:spacing w:val="-8"/>
          <w:sz w:val="28"/>
          <w:szCs w:val="28"/>
          <w:lang w:val="vi-VN"/>
        </w:rPr>
        <w:t xml:space="preserve">Nghị định số 23/2020/NĐ-CP ngày 24/02/2020 của Chính phủ quy định về quản lý cát, sỏi lòng sông và bảo vệ lòng, bờ, bãi, sông </w:t>
      </w:r>
      <w:r w:rsidRPr="00BA324E">
        <w:rPr>
          <w:rFonts w:ascii="Times New Roman" w:hAnsi="Times New Roman"/>
          <w:i/>
          <w:spacing w:val="-4"/>
          <w:sz w:val="28"/>
          <w:szCs w:val="28"/>
          <w:lang w:val="vi-VN"/>
        </w:rPr>
        <w:t>(có hiệu lực từ ngày 10/4/2020).</w:t>
      </w:r>
    </w:p>
    <w:p w:rsidR="0047704D" w:rsidRPr="00BA324E" w:rsidRDefault="0047704D" w:rsidP="0047704D">
      <w:pPr>
        <w:spacing w:before="120"/>
        <w:ind w:firstLine="720"/>
        <w:jc w:val="both"/>
        <w:rPr>
          <w:rFonts w:ascii="Times New Roman" w:hAnsi="Times New Roman"/>
          <w:i/>
          <w:spacing w:val="-4"/>
          <w:sz w:val="28"/>
          <w:szCs w:val="28"/>
          <w:lang w:val="vi-VN"/>
        </w:rPr>
      </w:pPr>
      <w:r w:rsidRPr="00BA324E">
        <w:rPr>
          <w:rFonts w:ascii="Times New Roman" w:hAnsi="Times New Roman"/>
          <w:sz w:val="28"/>
          <w:szCs w:val="28"/>
          <w:lang w:val="vi-VN"/>
        </w:rPr>
        <w:t xml:space="preserve">4. </w:t>
      </w:r>
      <w:r w:rsidRPr="00BA324E">
        <w:rPr>
          <w:rFonts w:ascii="Times New Roman" w:hAnsi="Times New Roman"/>
          <w:spacing w:val="-4"/>
          <w:sz w:val="28"/>
          <w:szCs w:val="28"/>
          <w:lang w:val="vi-VN"/>
        </w:rPr>
        <w:t xml:space="preserve">Nghị định số 36/2020/NĐ-CP ngày 24/3/2020 của Chính phủ Quy định về xử phạt vi phạm hành chính trong lĩnh vực tài nguyên nước và khoáng sản </w:t>
      </w:r>
      <w:r w:rsidRPr="00BA324E">
        <w:rPr>
          <w:rFonts w:ascii="Times New Roman" w:hAnsi="Times New Roman"/>
          <w:i/>
          <w:spacing w:val="-4"/>
          <w:sz w:val="28"/>
          <w:szCs w:val="28"/>
          <w:lang w:val="vi-VN"/>
        </w:rPr>
        <w:t>(có hiệu lực từ ngày 10/5/2020).</w:t>
      </w:r>
    </w:p>
    <w:p w:rsidR="0047704D" w:rsidRPr="00BA324E" w:rsidRDefault="0047704D" w:rsidP="0047704D">
      <w:pPr>
        <w:spacing w:before="120"/>
        <w:ind w:firstLine="720"/>
        <w:jc w:val="both"/>
        <w:rPr>
          <w:rFonts w:ascii="Times New Roman" w:hAnsi="Times New Roman"/>
          <w:color w:val="202124"/>
          <w:sz w:val="28"/>
          <w:szCs w:val="28"/>
          <w:shd w:val="clear" w:color="auto" w:fill="FFFFFF"/>
          <w:lang w:val="vi-VN"/>
        </w:rPr>
      </w:pPr>
      <w:r w:rsidRPr="00BA324E">
        <w:rPr>
          <w:rFonts w:ascii="Times New Roman" w:hAnsi="Times New Roman"/>
          <w:bCs/>
          <w:color w:val="202124"/>
          <w:sz w:val="28"/>
          <w:szCs w:val="28"/>
          <w:shd w:val="clear" w:color="auto" w:fill="FFFFFF"/>
          <w:lang w:val="vi-VN"/>
        </w:rPr>
        <w:t>5. Thông tư</w:t>
      </w:r>
      <w:r w:rsidRPr="00BA324E">
        <w:rPr>
          <w:rFonts w:ascii="Times New Roman" w:hAnsi="Times New Roman"/>
          <w:color w:val="202124"/>
          <w:sz w:val="28"/>
          <w:szCs w:val="28"/>
          <w:shd w:val="clear" w:color="auto" w:fill="FFFFFF"/>
          <w:lang w:val="vi-VN"/>
        </w:rPr>
        <w:t> số </w:t>
      </w:r>
      <w:r w:rsidRPr="00BA324E">
        <w:rPr>
          <w:rFonts w:ascii="Times New Roman" w:hAnsi="Times New Roman"/>
          <w:bCs/>
          <w:color w:val="202124"/>
          <w:sz w:val="28"/>
          <w:szCs w:val="28"/>
          <w:shd w:val="clear" w:color="auto" w:fill="FFFFFF"/>
          <w:lang w:val="vi-VN"/>
        </w:rPr>
        <w:t>45/2016</w:t>
      </w:r>
      <w:r w:rsidRPr="00BA324E">
        <w:rPr>
          <w:rFonts w:ascii="Times New Roman" w:hAnsi="Times New Roman"/>
          <w:color w:val="202124"/>
          <w:sz w:val="28"/>
          <w:szCs w:val="28"/>
          <w:shd w:val="clear" w:color="auto" w:fill="FFFFFF"/>
          <w:lang w:val="vi-VN"/>
        </w:rPr>
        <w:t>/</w:t>
      </w:r>
      <w:r w:rsidRPr="00BA324E">
        <w:rPr>
          <w:rFonts w:ascii="Times New Roman" w:hAnsi="Times New Roman"/>
          <w:bCs/>
          <w:color w:val="202124"/>
          <w:sz w:val="28"/>
          <w:szCs w:val="28"/>
          <w:shd w:val="clear" w:color="auto" w:fill="FFFFFF"/>
          <w:lang w:val="vi-VN"/>
        </w:rPr>
        <w:t>TT</w:t>
      </w:r>
      <w:r w:rsidRPr="00BA324E">
        <w:rPr>
          <w:rFonts w:ascii="Times New Roman" w:hAnsi="Times New Roman"/>
          <w:color w:val="202124"/>
          <w:sz w:val="28"/>
          <w:szCs w:val="28"/>
          <w:shd w:val="clear" w:color="auto" w:fill="FFFFFF"/>
          <w:lang w:val="vi-VN"/>
        </w:rPr>
        <w:t>-</w:t>
      </w:r>
      <w:r w:rsidRPr="00BA324E">
        <w:rPr>
          <w:rFonts w:ascii="Times New Roman" w:hAnsi="Times New Roman"/>
          <w:bCs/>
          <w:color w:val="202124"/>
          <w:sz w:val="28"/>
          <w:szCs w:val="28"/>
          <w:shd w:val="clear" w:color="auto" w:fill="FFFFFF"/>
          <w:lang w:val="vi-VN"/>
        </w:rPr>
        <w:t>BTNMT</w:t>
      </w:r>
      <w:r w:rsidRPr="00BA324E">
        <w:rPr>
          <w:rFonts w:ascii="Times New Roman" w:hAnsi="Times New Roman"/>
          <w:color w:val="202124"/>
          <w:sz w:val="28"/>
          <w:szCs w:val="28"/>
          <w:shd w:val="clear" w:color="auto" w:fill="FFFFFF"/>
          <w:lang w:val="vi-VN"/>
        </w:rPr>
        <w: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47704D" w:rsidRPr="00BA324E" w:rsidRDefault="0047704D" w:rsidP="0047704D">
      <w:pPr>
        <w:spacing w:before="120"/>
        <w:ind w:firstLine="720"/>
        <w:jc w:val="both"/>
        <w:rPr>
          <w:rFonts w:ascii="Times New Roman" w:hAnsi="Times New Roman"/>
          <w:color w:val="202124"/>
          <w:sz w:val="28"/>
          <w:szCs w:val="28"/>
          <w:shd w:val="clear" w:color="auto" w:fill="FFFFFF"/>
          <w:lang w:val="vi-VN"/>
        </w:rPr>
      </w:pPr>
      <w:r w:rsidRPr="00BA324E">
        <w:rPr>
          <w:rFonts w:ascii="Times New Roman" w:hAnsi="Times New Roman"/>
          <w:color w:val="202124"/>
          <w:sz w:val="28"/>
          <w:szCs w:val="28"/>
          <w:shd w:val="clear" w:color="auto" w:fill="FFFFFF"/>
          <w:lang w:val="vi-VN"/>
        </w:rPr>
        <w:t xml:space="preserve">6. </w:t>
      </w:r>
      <w:r w:rsidRPr="00BA324E">
        <w:rPr>
          <w:rFonts w:ascii="Times New Roman" w:hAnsi="Times New Roman"/>
          <w:sz w:val="28"/>
          <w:szCs w:val="28"/>
          <w:lang w:val="vi-VN"/>
        </w:rPr>
        <w:t>Quyết định số 02/2018/QĐ-UBND ngày 19/3/2018 của Ủy ban nhân dân tỉnh ban hành Quy định về trách nhiệm của các cấp, các ngành trong quản lý đất đai, khoáng sản trên địa bàn tỉnh Tuyên Quang.</w:t>
      </w:r>
    </w:p>
    <w:p w:rsidR="0047704D" w:rsidRPr="00BA324E" w:rsidRDefault="0047704D" w:rsidP="0047704D">
      <w:pPr>
        <w:jc w:val="center"/>
        <w:rPr>
          <w:rFonts w:ascii="Times New Roman" w:hAnsi="Times New Roman"/>
          <w:i/>
          <w:sz w:val="28"/>
          <w:szCs w:val="28"/>
          <w:lang w:val="vi-VN"/>
        </w:rPr>
      </w:pPr>
      <w:r w:rsidRPr="00BA324E">
        <w:rPr>
          <w:rFonts w:ascii="Times New Roman" w:hAnsi="Times New Roman"/>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1655445</wp:posOffset>
                </wp:positionH>
                <wp:positionV relativeFrom="paragraph">
                  <wp:posOffset>178435</wp:posOffset>
                </wp:positionV>
                <wp:extent cx="2705100" cy="0"/>
                <wp:effectExtent l="11430" t="6350" r="762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18D8A" id="Straight Arrow Connector 1" o:spid="_x0000_s1026" type="#_x0000_t32" style="position:absolute;margin-left:130.35pt;margin-top:14.05pt;width:21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kU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"/>
            </w:pict>
          </mc:Fallback>
        </mc:AlternateContent>
      </w:r>
    </w:p>
    <w:p w:rsidR="0047704D" w:rsidRPr="007769C3" w:rsidRDefault="0047704D" w:rsidP="0047704D">
      <w:pPr>
        <w:rPr>
          <w:rFonts w:ascii="Arial" w:hAnsi="Arial"/>
          <w:lang w:val="vi-VN"/>
        </w:rPr>
      </w:pPr>
    </w:p>
    <w:p w:rsidR="00D6793B" w:rsidRDefault="00D6793B"/>
    <w:sectPr w:rsidR="00D6793B" w:rsidSect="00104AEC">
      <w:headerReference w:type="even" r:id="rId4"/>
      <w:headerReference w:type="default" r:id="rId5"/>
      <w:footerReference w:type="even" r:id="rId6"/>
      <w:pgSz w:w="11907" w:h="16840" w:code="9"/>
      <w:pgMar w:top="1021" w:right="1134" w:bottom="28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69" w:rsidRDefault="002C5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3D69" w:rsidRDefault="002C5230">
    <w:pPr>
      <w:pStyle w:val="Footer"/>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69" w:rsidRDefault="002C52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3D69" w:rsidRDefault="002C52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69" w:rsidRDefault="002C5230">
    <w:pPr>
      <w:pStyle w:val="Header"/>
      <w:framePr w:wrap="around" w:vAnchor="text" w:hAnchor="margin" w:xAlign="center" w:y="1"/>
      <w:rPr>
        <w:rStyle w:val="PageNumber"/>
      </w:rPr>
    </w:pPr>
  </w:p>
  <w:p w:rsidR="00B63D69" w:rsidRDefault="002C5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4D"/>
    <w:rsid w:val="001C3008"/>
    <w:rsid w:val="002C5230"/>
    <w:rsid w:val="003740F2"/>
    <w:rsid w:val="00466687"/>
    <w:rsid w:val="0047704D"/>
    <w:rsid w:val="00801A4D"/>
    <w:rsid w:val="00D6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B983"/>
  <w15:chartTrackingRefBased/>
  <w15:docId w15:val="{4AC9AC15-5ED8-46FF-B428-D3CDC33D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04D"/>
    <w:pPr>
      <w:spacing w:after="0" w:line="240" w:lineRule="auto"/>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704D"/>
    <w:pPr>
      <w:tabs>
        <w:tab w:val="center" w:pos="4320"/>
        <w:tab w:val="right" w:pos="8640"/>
      </w:tabs>
    </w:pPr>
  </w:style>
  <w:style w:type="character" w:customStyle="1" w:styleId="HeaderChar">
    <w:name w:val="Header Char"/>
    <w:basedOn w:val="DefaultParagraphFont"/>
    <w:link w:val="Header"/>
    <w:rsid w:val="0047704D"/>
    <w:rPr>
      <w:rFonts w:ascii=".VnTime" w:eastAsia="Times New Roman" w:hAnsi=".VnTime" w:cs="Times New Roman"/>
      <w:sz w:val="26"/>
      <w:szCs w:val="26"/>
    </w:rPr>
  </w:style>
  <w:style w:type="character" w:styleId="PageNumber">
    <w:name w:val="page number"/>
    <w:basedOn w:val="DefaultParagraphFont"/>
    <w:rsid w:val="0047704D"/>
  </w:style>
  <w:style w:type="paragraph" w:styleId="Footer">
    <w:name w:val="footer"/>
    <w:basedOn w:val="Normal"/>
    <w:link w:val="FooterChar"/>
    <w:rsid w:val="0047704D"/>
    <w:pPr>
      <w:tabs>
        <w:tab w:val="center" w:pos="4320"/>
        <w:tab w:val="right" w:pos="8640"/>
      </w:tabs>
    </w:pPr>
  </w:style>
  <w:style w:type="character" w:customStyle="1" w:styleId="FooterChar">
    <w:name w:val="Footer Char"/>
    <w:basedOn w:val="DefaultParagraphFont"/>
    <w:link w:val="Footer"/>
    <w:rsid w:val="0047704D"/>
    <w:rPr>
      <w:rFonts w:ascii=".VnTime" w:eastAsia="Times New Roman" w:hAnsi=".VnTime" w:cs="Times New Roman"/>
      <w:sz w:val="26"/>
      <w:szCs w:val="26"/>
    </w:rPr>
  </w:style>
  <w:style w:type="character" w:customStyle="1" w:styleId="Bodytext">
    <w:name w:val="Body text_"/>
    <w:link w:val="Bodytext0"/>
    <w:locked/>
    <w:rsid w:val="00466687"/>
    <w:rPr>
      <w:rFonts w:cs="Times New Roman"/>
      <w:szCs w:val="28"/>
      <w:shd w:val="clear" w:color="auto" w:fill="FFFFFF"/>
    </w:rPr>
  </w:style>
  <w:style w:type="paragraph" w:customStyle="1" w:styleId="Bodytext0">
    <w:name w:val="Body text"/>
    <w:basedOn w:val="Normal"/>
    <w:link w:val="Bodytext"/>
    <w:rsid w:val="00466687"/>
    <w:pPr>
      <w:widowControl w:val="0"/>
      <w:shd w:val="clear" w:color="auto" w:fill="FFFFFF"/>
      <w:spacing w:after="100"/>
      <w:ind w:firstLine="400"/>
    </w:pPr>
    <w:rPr>
      <w:rFonts w:ascii="Times New Roman" w:eastAsiaTheme="minorHAns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2021-11-08T08:03:00Z</dcterms:created>
  <dcterms:modified xsi:type="dcterms:W3CDTF">2021-11-08T08:10:00Z</dcterms:modified>
</cp:coreProperties>
</file>